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81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 xml:space="preserve">Ocean Power Technologies,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720"/>
        <w:jc w:val="both"/>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819"/>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28 Engelhard Drive, </w:t>
            </w:r>
            <w:bookmarkStart w:id="9" w:name="xdx_90B_edei--EntityAddressAddressLine2_"/>
            <w:bookmarkEnd w:id="9"/>
            <w:r>
              <w:rPr>
                <w:rFonts w:ascii="Times New Roman;Times;Serif" w:hAnsi="Times New Roman;Times;Serif"/>
                <w:b/>
                <w:i w:val="false"/>
                <w:caps w:val="false"/>
                <w:smallCaps w:val="false"/>
                <w:sz w:val="20"/>
              </w:rPr>
              <w:t>Suite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Monroe Township, </w:t>
            </w:r>
            <w:bookmarkStart w:id="11" w:name="xdx_90C_edei--EntityAddressStateOrProvin"/>
            <w:bookmarkEnd w:id="11"/>
            <w:r>
              <w:rPr>
                <w:rFonts w:ascii="Times New Roman;Times;Serif" w:hAnsi="Times New Roman;Times;Serif"/>
                <w:b/>
                <w:i w:val="false"/>
                <w:caps w:val="false"/>
                <w:smallCaps w:val="false"/>
                <w:sz w:val="20"/>
              </w:rPr>
              <w:t>New Jersey</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4_edei--EntityAddressPostalZipCode"/>
            <w:bookmarkEnd w:id="12"/>
            <w:r>
              <w:rPr>
                <w:rFonts w:ascii="Times New Roman;Times;Serif" w:hAnsi="Times New Roman;Times;Serif"/>
                <w:b/>
                <w:i w:val="false"/>
                <w:caps w:val="false"/>
                <w:smallCaps w:val="false"/>
                <w:sz w:val="20"/>
              </w:rPr>
              <w:t>08831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0_edei--CityAreaCode_c20260819__20"/>
      <w:bookmarkEnd w:id="13"/>
      <w:r>
        <w:rPr>
          <w:rFonts w:ascii="Times New Roman;Times;Serif" w:hAnsi="Times New Roman;Times;Serif"/>
          <w:b/>
          <w:i w:val="false"/>
          <w:caps w:val="false"/>
          <w:smallCaps w:val="false"/>
          <w:sz w:val="20"/>
        </w:rPr>
        <w:t xml:space="preserve">(609) </w:t>
      </w:r>
      <w:bookmarkStart w:id="14" w:name="xdx_900_edei--LocalPhoneNumber_c20260819"/>
      <w:bookmarkEnd w:id="14"/>
      <w:r>
        <w:rPr>
          <w:rFonts w:ascii="Times New Roman;Times;Serif" w:hAnsi="Times New Roman;Times;Serif"/>
          <w:b/>
          <w:i w:val="false"/>
          <w:caps w:val="false"/>
          <w:smallCaps w:val="false"/>
          <w:sz w:val="20"/>
        </w:rPr>
        <w:t>730-0400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230"/>
        <w:gridCol w:w="9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B_edei--SolicitingMaterial_c202608"/>
            <w:bookmarkEnd w:id="16"/>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D_edei--PreCommencementTenderOffer"/>
            <w:bookmarkEnd w:id="17"/>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8_edei--PreCommencementIssuerTende"/>
            <w:bookmarkEnd w:id="18"/>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CRF 240.133-4(c))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60819"/>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819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5_edei--SecurityExchangeName_c2026"/>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9_edei--Security12bTitle_c20260819"/>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TradingSymbol_c20260819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B_edei--SecurityExchangeName_c2026"/>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F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920"/>
        <w:gridCol w:w="4025"/>
      </w:tblGrid>
      <w:tr>
        <w:trPr/>
        <w:tc>
          <w:tcPr>
            <w:tcW w:w="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2.02. </w:t>
            </w:r>
          </w:p>
        </w:tc>
        <w:tc>
          <w:tcPr>
            <w:tcW w:w="4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Results of Operations and Financial Condition.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Ocean Power Technologies, Inc. (the “Company”) issued a press release announcing an update to the preliminary financial results previously announced on July 23, 2026 for the fiscal year and quarter ended April 30, 2026. A copy of the press release is furnished as Exhibit 99.1 to this report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set forth in Item 2.02 and in the attached Exhibit 99.1 shall be deemed to be “furnished” and shall not be deemed to be “filed” for purposes of Section 18 of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830"/>
        <w:gridCol w:w="1145"/>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1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the Company issued a press release announcing that their recently completed audit for the fiscal year ended April 30, 2026 included a going concern qualification. A copy of the press release is filed as Exhibit 99.2 to this report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28"/>
        <w:gridCol w:w="60"/>
        <w:gridCol w:w="8817"/>
      </w:tblGrid>
      <w:tr>
        <w:trPr/>
        <w:tc>
          <w:tcPr>
            <w:tcW w:w="1328"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817"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32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8817"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19, 2026 regarding earnings for the fiscal fourth quarter and fiscal year ended April 30, 2026.</w:t>
              </w:r>
            </w:hyperlink>
          </w:p>
        </w:tc>
      </w:tr>
      <w:tr>
        <w:trPr/>
        <w:tc>
          <w:tcPr>
            <w:tcW w:w="132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pPr>
            <w:r>
              <w:rPr/>
              <w:t> </w:t>
            </w:r>
          </w:p>
        </w:tc>
        <w:tc>
          <w:tcPr>
            <w:tcW w:w="8817" w:type="dxa"/>
            <w:tcBorders/>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Press release dated August 21, 2026 regarding going concern qualification.</w:t>
              </w:r>
            </w:hyperlink>
          </w:p>
        </w:tc>
      </w:tr>
      <w:tr>
        <w:trPr/>
        <w:tc>
          <w:tcPr>
            <w:tcW w:w="132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881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22, 2026</w:t>
      </w:r>
    </w:p>
    <w:p>
      <w:pPr>
        <w:pStyle w:val="TextBody"/>
        <w:bidi w:val="0"/>
        <w:spacing w:before="0" w:after="0"/>
        <w:ind w:left="0" w:right="0" w:hanging="0"/>
        <w:jc w:val="both"/>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75"/>
        <w:gridCol w:w="3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7635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2857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Provides Update to Previously Announced Preliminary Fiscal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August 19, 2026</w:t>
      </w:r>
      <w:r>
        <w:rPr>
          <w:rFonts w:ascii="Times New Roman;Times;Serif" w:hAnsi="Times New Roman;Times;Serif"/>
          <w:b w:val="false"/>
          <w:i w:val="false"/>
          <w:caps w:val="false"/>
          <w:smallCaps w:val="false"/>
          <w:sz w:val="20"/>
        </w:rPr>
        <w:t xml:space="preserve"> – Ocean Power Technologies, Inc. (“OPT” or the “Company”) (NYSE American: OPTT), a leader in maritime operational infrastructure, autonomous ocean systems, and AI-enabled maritime intelligence solutions, today provided an update to the preliminary financial results previously announced on 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additional audit procedures and consultation with the National Office of the Company’s independent registered public accounting firm, the Company revised its accounting treatment with respect to certain revenue, costs and other accounting matters identified in connection with the completion of the audit. As a result, certain previously reported preliminary financial results have been updated.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revisions for the fiscal year ended April 30, 2026 decrease revenue by approximately $0.4 million from $4.1 million to $3.7 million, decreased gross loss by approximately $2.2 million, from the previously reported gross loss of $8.1 million to $5.9 million, and decreased operating loss by approximately $1.5 million for the same period. The revisions also increased net loss by approximately $5.2 million, from approximately $43.7 million to $48.9 million. Net loss for the fiscal year ended April 30, 2025 also increased by approximately $3.0 million due to the recognition of a loss on changes in fair value of a financial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revisions result from changes in accounting treatment and do not reflect changes in the Company’s underlying business activities.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revisions have no impact on the Company’s cash or cash flows.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revisions do not change the terms of the Company’s customer contracts or the Company’s contractual rights and obligations.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autonomous surface vessels (ASVs) and marine robotics services. The Company’s headquarters is located in Monroe Township, New Jersey and has an additional office in Richmond, California. To learn more, visit www.OceanPowerTechnologies.com.</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Except as may be required by applicable law, the Company undertakes no, and expressly disclaims any, obligation to publicly update or revise any forward-looking statements, whether as a result of new information, future events, circumstances or otherwise after the date of this press release, and you are cautioned not to rely upon them unduly.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Tables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may be found in the Company’s Annual Report on Form 10-K that will be filed with the U.S. Securities and Exchange Commission. The Form 10-K is accessible at www.sec.gov or the Investor Relations section of the Company’s website (www.OceanPowerTechnologies.com/investor-relations).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609-730-0400 x401 or InvestorRelations@oceanpowertech.com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609-730-0400 x402 or 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1"/>
        <w:gridCol w:w="60"/>
        <w:gridCol w:w="157"/>
        <w:gridCol w:w="986"/>
        <w:gridCol w:w="95"/>
        <w:gridCol w:w="60"/>
        <w:gridCol w:w="157"/>
        <w:gridCol w:w="986"/>
        <w:gridCol w:w="113"/>
      </w:tblGrid>
      <w:tr>
        <w:trPr/>
        <w:tc>
          <w:tcPr>
            <w:tcW w:w="75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113" w:type="dxa"/>
            <w:tcBorders/>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8,719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6,715</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Restricted cash, short-term</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1,191</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590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1,088</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4,222</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2,648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400</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15,888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13,616</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10,255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3,444</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Intangibles,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3,490</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Right-of-use assets,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1,552</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Restricted cash, long-term</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154</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8,537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8,537</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jc w:val="right"/>
              <w:rPr/>
            </w:pPr>
            <w:r>
              <w:rPr/>
              <w:t>39,923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jc w:val="right"/>
              <w:rPr/>
            </w:pPr>
            <w:r>
              <w:rPr/>
              <w:t>30,793</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center"/>
              <w:rPr/>
            </w:pPr>
            <w:r>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4,366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568</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Earn out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300</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Convertible notes payable (Note 13)</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10,428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4,232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1,271</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Contract liabilities, current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6,029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Right-of-use liabilities, current portion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1,202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1,150</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26,407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3,289</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203</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Right-of-use liabilities, less current portion</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649</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27,447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4,141</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Preferred stock, $0.001 par value; authorized 5,000,000 shares, none issued or outstanding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Common stock, $0.001 par value; authorized 400,000,000 and 300,000,000 shares, respectively, issued 231,145,998 and 172,050,563 shares, respectively, and outstanding 228,460,085 and 171,263,086 shares, respectively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172</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Treasury stock, at cost; 2,685,913 and 787,477 shares,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(1,018</w:t>
            </w:r>
          </w:p>
        </w:tc>
        <w:tc>
          <w:tcPr>
            <w:tcW w:w="113" w:type="dxa"/>
            <w:tcBorders/>
            <w:shd w:fill="FFFFFF" w:val="clear"/>
            <w:vAlign w:val="center"/>
          </w:tcPr>
          <w:p>
            <w:pPr>
              <w:pStyle w:val="TableContents"/>
              <w:bidi w:val="0"/>
              <w:spacing w:before="0" w:after="283"/>
              <w:jc w:val="left"/>
              <w:rPr/>
            </w:pPr>
            <w:r>
              <w:rPr/>
              <w:t>)</w:t>
            </w:r>
          </w:p>
        </w:tc>
      </w:tr>
      <w:tr>
        <w:trPr/>
        <w:tc>
          <w:tcPr>
            <w:tcW w:w="7591"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395,031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359,544</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(380,961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(332,046</w:t>
            </w:r>
          </w:p>
        </w:tc>
        <w:tc>
          <w:tcPr>
            <w:tcW w:w="113" w:type="dxa"/>
            <w:tcBorders/>
            <w:shd w:fill="FFFFFF" w:val="clear"/>
            <w:vAlign w:val="center"/>
          </w:tcPr>
          <w:p>
            <w:pPr>
              <w:pStyle w:val="TableContents"/>
              <w:bidi w:val="0"/>
              <w:spacing w:before="0" w:after="283"/>
              <w:jc w:val="left"/>
              <w:rPr/>
            </w:pPr>
            <w:r>
              <w:rPr/>
              <w:t>)</w:t>
            </w:r>
          </w:p>
        </w:tc>
      </w:tr>
      <w:tr>
        <w:trPr/>
        <w:tc>
          <w:tcPr>
            <w:tcW w:w="7591"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591"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12,476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26,652</w:t>
            </w:r>
          </w:p>
        </w:tc>
        <w:tc>
          <w:tcPr>
            <w:tcW w:w="113" w:type="dxa"/>
            <w:tcBorders/>
            <w:shd w:fill="FFFFFF" w:val="clear"/>
            <w:vAlign w:val="center"/>
          </w:tcPr>
          <w:p>
            <w:pPr>
              <w:pStyle w:val="TableContents"/>
              <w:bidi w:val="0"/>
              <w:spacing w:before="0" w:after="283"/>
              <w:jc w:val="left"/>
              <w:rPr/>
            </w:pPr>
            <w:r>
              <w:rPr/>
              <w:t> </w:t>
            </w:r>
          </w:p>
        </w:tc>
      </w:tr>
      <w:tr>
        <w:trPr/>
        <w:tc>
          <w:tcPr>
            <w:tcW w:w="7591"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jc w:val="right"/>
              <w:rPr/>
            </w:pPr>
            <w:r>
              <w:rPr/>
              <w:t>39,923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jc w:val="right"/>
              <w:rPr/>
            </w:pPr>
            <w:r>
              <w:rPr/>
              <w:t>30,793</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Product &amp; service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5,408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Lease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453</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5,861</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4,201</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1,660</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32,442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23,346</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(38,363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(21,686</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Interest (expense)/income,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Change in fair value of financial instrument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(2,956</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(838</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(25,500</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1,034</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(48,915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(24,466</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(0.19</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194,349,416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126,913,998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4"/>
        <w:gridCol w:w="60"/>
        <w:gridCol w:w="188"/>
        <w:gridCol w:w="1021"/>
        <w:gridCol w:w="128"/>
        <w:gridCol w:w="80"/>
        <w:gridCol w:w="188"/>
        <w:gridCol w:w="1021"/>
        <w:gridCol w:w="115"/>
      </w:tblGrid>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115" w:type="dxa"/>
            <w:tcBorders/>
            <w:vAlign w:val="center"/>
          </w:tcPr>
          <w:p>
            <w:pPr>
              <w:pStyle w:val="TableContents"/>
              <w:bidi w:val="0"/>
              <w:spacing w:before="0" w:after="283"/>
              <w:jc w:val="left"/>
              <w:rPr/>
            </w:pPr>
            <w:r>
              <w:rPr/>
              <w:t> </w:t>
            </w:r>
          </w:p>
        </w:tc>
      </w:tr>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(48.915</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(24,466</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45</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Depreciation of fixed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895</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771</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133</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132</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942</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853</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595</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9,488</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4,603</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Change in fair value of financial instrument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5,690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2,956</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1,186</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838</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111</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Non-cash interest settled through share conversions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1,495</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Impairment of fixed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838</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Credit loss expense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933</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Inventory net realizable value adjustment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745</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Changes in operating assets and liabilities, net of acquisitions: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(328</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(395</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498</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(1,070</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(4,249</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130</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(2,323</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1,347</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3,799</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(2,798</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2,961</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(515</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Earn out payable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(150</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(200</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Right-of-use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(1,036</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(773</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6,029</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(20,775</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(18,634</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(4,008</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(505</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(4,008</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(505</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Cash paid for tax withholding related to shares withheld</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(807</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(649</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(524</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Proceeds from convertible notes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26,500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3,173</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Payment on convertible notes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(5,974</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Proceeds from issuance of common stock -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7,592</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17,729</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Proceeds from issuance of common stock - Capital Raise, net of issuance costs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2,450</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26,787</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22,703</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Net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2,004</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3,564</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Cash, cash equivalents and restricted cash, beginning of year</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6,869</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3,305</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Cash, cash equivalents and restricted cash, end of year</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8,873</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6,869</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Common stock issued related to bonus and earnout payments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630</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Common stock issued related to conversion of convertible debt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18,432</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2,956</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Operating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1,276</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8" w:name="ex99-2.htm"/>
      <w:bookmarkStart w:id="29" w:name="ksex992"/>
      <w:bookmarkEnd w:id="28"/>
      <w:bookmarkEnd w:id="2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7635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285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Provides Required Disclosure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MONROE TOWNSHIP, N.J., Aug. 21, 2026 (GLOBE NEWSWIRE) — </w:t>
      </w:r>
      <w:r>
        <w:rPr>
          <w:rFonts w:ascii="Times New Roman;Times;Serif" w:hAnsi="Times New Roman;Times;Serif"/>
          <w:b w:val="false"/>
          <w:i w:val="false"/>
          <w:caps w:val="false"/>
          <w:smallCaps w:val="false"/>
          <w:sz w:val="20"/>
        </w:rPr>
        <w:t>Ocean Power Technologies, Inc. (“OPT” or the “Company”) (NYSE American: OPTT), a leader in maritime operational infrastructure and autonomous ocean systems, announced that its Financial Statements included in its Annual Report on Form 10-K for the year ended April 30, 2026, contained an audit report from its Independent Registered Public Accounting Firm with an explanatory paragraph emphasizing a going concern qualification. Release of this information is required by Section 610(b) of the NYSE American Company Guide and does not reflect any change or amendment to any of the Company’s filings for the fiscal year ended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Ocean Power Technologies,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unmanned surface vessels (USVs) and marine robotics services. The Company’s headquarters is in Monroe Township, New Jersey, with an additional office in Richmond, California. To learn more about OPT’s products, services and solutions,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and successfully deploy its technologies and services in support of those task orders,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203-561-6945 or </w:t>
      </w:r>
      <w:r>
        <w:rPr>
          <w:rFonts w:ascii="Times New Roman;Times;Serif" w:hAnsi="Times New Roman;Times;Serif"/>
          <w:b w:val="false"/>
          <w:i w:val="false"/>
          <w:caps w:val="false"/>
          <w:smallCaps w:val="false"/>
          <w:sz w:val="20"/>
          <w:u w:val="single"/>
        </w:rPr>
        <w:t>investorrelations@oceanpowertech.com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609-730-0400 x402 or </w:t>
      </w:r>
      <w:r>
        <w:rPr>
          <w:rFonts w:ascii="Times New Roman;Times;Serif" w:hAnsi="Times New Roman;Times;Serif"/>
          <w:b w:val="false"/>
          <w:i w:val="false"/>
          <w:caps w:val="false"/>
          <w:smallCaps w:val="false"/>
          <w:sz w:val="20"/>
          <w:u w:val="single"/>
        </w:rPr>
        <w:t>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2440</Words>
  <Characters>14149</Characters>
  <CharactersWithSpaces>16804</CharactersWithSpaces>
  <Paragraphs>1172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