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pre14a.htm"/>
      <w:bookmarkStart w:id="1" w:name="ksformpre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w:t>
        <w:br/>
        <w:t>Exchange Act of 1934 (Amendment No.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b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245"/>
        <w:gridCol w:w="60"/>
        <w:gridCol w:w="6710"/>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Ocean Power Technologies,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b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November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a special meeting of the stockholders of Ocean Power Technologies, Inc. (the “Company”), which will be held at 9 a.m. Eastern time on November 24, 2026, in virtual format only at https://www.cesonlineservices.com/opttsm2_vm, for the purpose of voting on proposals to (i) approve, for purposes of complying with NYSE American Rule 713, the issuance of shares of common stock in an amount equal to or in excess of 20% of our common stock outstanding immediately prior to such issuance in connection with the Exchange Agreements dated September 25, 2026 (the “Exchange Agreements”) with certain investors who beneficially own Series D Senior Convertible Notes of the Company , and (ii) approve an adjournment of the Special Meeting from time to time, if necessary or appropriate (as determined in good faith by the Board or a committee thereof), to solicit additional proxies if there are not sufficient votes in favor of the stock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were a stockholder at the close of business on October 15, 2026, you are entitled to notice of and to vote at the meeting. A stockholders list will be available at our offices, 28 Engelhard Drive, Suite B, Monroe Township, NJ 08831, for a period of ten days prior to the meeting or any adjournment or postponement of the meeting. The stockholders list will also be available for inspection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plan to participate virtually in the meeting, we urge you to read the proxy statement carefully, and to use the instructions on the enclosed proxy card to vote by telephone or Internet or by signing, dating, and returning the enclosed proxy card in the postage-paid envelope provided. The prompt return of proxies will ensure a quorum and save us the expense of further solicitation.</w:t>
      </w:r>
    </w:p>
    <w:p>
      <w:pPr>
        <w:pStyle w:val="TextBody"/>
        <w:bidi w:val="0"/>
        <w:spacing w:before="0" w:after="0"/>
        <w:ind w:left="345" w:right="0" w:hanging="0"/>
        <w:jc w:val="both"/>
        <w:rPr>
          <w:caps w:val="false"/>
          <w:smallCaps w:val="false"/>
        </w:rPr>
      </w:pPr>
      <w:r>
        <w:rPr>
          <w:caps w:val="false"/>
          <w:smallCaps w:val="false"/>
        </w:rPr>
        <w:t> </w:t>
      </w:r>
    </w:p>
    <w:p>
      <w:pPr>
        <w:pStyle w:val="TextBody"/>
        <w:bidi w:val="0"/>
        <w:spacing w:before="0" w:after="0"/>
        <w:ind w:left="345"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you vote “FOR” the proposal.</w:t>
      </w:r>
    </w:p>
    <w:p>
      <w:pPr>
        <w:pStyle w:val="TextBody"/>
        <w:bidi w:val="0"/>
        <w:spacing w:before="0" w:after="0"/>
        <w:ind w:left="345" w:right="0" w:hanging="0"/>
        <w:jc w:val="both"/>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75"/>
        <w:gridCol w:w="60"/>
        <w:gridCol w:w="377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Interim President and Chief Executive Officer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15, 2026</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br/>
        <w:t>28 Engelhard Drive,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soliciting proxies for a special meeting of our stockholders (the “Special Meeting”) to be held virtually at 9:00 am Eastern time, on November 24, 2026, and at any adjournment or postponement thereof, for the purposes set forth in the accompanying notice. This proxy statement and the accompanying proxy card are first being mailed to stockholders on or about October 15, 2026. Stockholders are urged to read carefully the material in this 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60"/>
        <w:gridCol w:w="9966"/>
      </w:tblGrid>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am I receiving this proxy statement?</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sent you this proxy statement and the enclosed proxy card because the Board is soliciting proxies for a special meeting of stockholders. You are receiving a proxy statement because you owned shares of our common stock, par value $0.001 per share, on October 15, 2026, the record date for the Special Meeting (the “Record Date”), and that entitles you to vote at the Special Meeting. By use of a proxy, you can vote whether or not you attend the Special Meeting. This proxy statement describes the matter on which we would like you to vote and provides further information so that you can make an informed decision.</w:t>
            </w:r>
          </w:p>
          <w:p>
            <w:pPr>
              <w:pStyle w:val="TableContents"/>
              <w:bidi w:val="0"/>
              <w:spacing w:before="0" w:after="0"/>
              <w:ind w:left="0" w:right="0" w:hanging="0"/>
              <w:jc w:val="both"/>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will I be voting on?</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 proposals are (i) to approve, for purposes of complying with NYSE American Rule 713, the issuance of shares of common stock in an amount equal to or in excess of 20% of our common stock outstanding immediately prior to such issuance in connection with the Exchange Agreements dated September 25, 2026 (the “Exchange Agreements”) with certain investors who beneficially own Series D Senior Convertible Notes of the Company, and (ii) to approve an adjournment of the Special Meeting from time to time, if necessary or appropriate (as determined in good faith by the Board of Directors or a committee thereof), to solicit additional proxies if there are not sufficient votes in favor of the common stock issuance.</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are we seeking stockholder approval for the proposals?</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because it is required by the rules and regulations of the 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Procedures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60"/>
        <w:gridCol w:w="9967"/>
      </w:tblGrid>
      <w:tr>
        <w:trPr/>
        <w:tc>
          <w:tcPr>
            <w:tcW w:w="178"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can attend and vote at the Special Meeting?</w:t>
            </w:r>
          </w:p>
        </w:tc>
      </w:tr>
      <w:tr>
        <w:trPr/>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participate electronically and vote at the Special Meeting if you were a stockholder at the close of business on the record date, October 15, 2026. To attend the Special Meeting, you must pre-register at https://www.cesonlineservices.com/opttsm2_vm by 9:00 a.m. Eastern Time on November 23, 2026.</w:t>
            </w:r>
          </w:p>
        </w:tc>
      </w:tr>
      <w:tr>
        <w:trPr/>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8"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I cast my vote?</w:t>
            </w:r>
          </w:p>
        </w:tc>
      </w:tr>
      <w:tr>
        <w:trPr/>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pPr>
            <w:r>
              <w:rPr/>
              <w:t> </w:t>
            </w:r>
          </w:p>
        </w:tc>
        <w:tc>
          <w:tcPr>
            <w:tcW w:w="9967"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you are considered the registered stockholder for those shares. As the registered stockholder, you have the right to vote those shares and we will send you the proxy materials and a proxy card. You may vote by marking, signing, dating and returning the enclosed proxy card in the enclosed prepaid envelope. Alternatively you may vote by telephone, via the Internet, or by virtually attending the Special Meeting. Instructions on how to vote by phone or via the Internet are set forth on the enclosed proxy card. In the event that you return a signed proxy card on which no directions are specified, your shares will be voted as recommended by the Board.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the name of a broker, bank or other nominee (typically referred to as being held in “street name”), you will receive instructions from your broker, bank or other nominee that must be followed in order for your broker, bank or other nominee to vote your shares per your instructions. Many brokerage firms and banks have a process for their beneficial holders to provide instructions via the Internet or over the telephone. If Internet or telephone voting is unavailable from your broker, bank or other nominee, please complete and return the enclosed voting instruction card in the addressed, postage paid envelope provided.</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shd w:fill="FFFFFF" w:val="clear"/>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rules that govern brokers who are voting with respect to shares that are held in street name, brokers have the discretion to vote such shares on routine matters, but not on non-routine matters. Approval of the common stock issuance proposal would be considered a non-routine matter, but the adjournment proposal would be considered a routine matter.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Because this is a non-routine matter, if you hold your shares through a broker, bank, trustee or other nominee and you do not instruct them how to vote on this proposal, your broker will not have authority to vote your shares. As a result, a failure to instruct your broker, bank or other nominee on how to vote your shares will necessarily count as a vote against this proposal. See “Vote Required” following the proposals for further information.</w:t>
            </w:r>
            <w:r>
              <w:rPr>
                <w:rFonts w:ascii="Times New Roman;Times;Serif" w:hAnsi="Times New Roman;Times;Serif"/>
                <w:b w:val="false"/>
                <w:i w:val="false"/>
                <w:caps w:val="false"/>
                <w:smallCaps w:val="false"/>
                <w:sz w:val="20"/>
              </w:rPr>
              <w:t xml:space="preserve"> If you hold shares through a broker, bank or other nominee and wish to be able to vote electronically at the Special Meeting, you must obtain a legal proxy from your broker, bank or other nominee and present it to the inspector of election with your ballot at the Special Meeting.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9"/>
        <w:gridCol w:w="60"/>
        <w:gridCol w:w="9966"/>
      </w:tblGrid>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voting methods are available?</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send proxy cards to all registered stockholders to enable them to vote their shares. Instructions on how to vote by phone or via the Internet are set forth on the enclosed proxy card. Stockholders who submit a proxy card, or vote by phone or via the Internet, need not vote electronically at the Special Meeting. However, we will provide electronic ballots to any registered stockholder or holder of a legal proxy who wishes to vote at the Special Meeting.</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Are the proxy materials available on the Internet?</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rules promulgated by the Securities and Exchange Commission (the “SEC”), we are providing access to our proxy materials both by sending you this full set of proxy materials, including a proxy card, and by notifying you of the availability of our proxy materials on the Internet. This proxy statement is available on the home page of our web site at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 Additionally, and in accordance with new SEC rules, we maintain the proxy materials on our website in a manner that will not infringe on your anonymity if you access them.</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does the Board recommend I vote on the proposals?</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you vote “FOR” approval of each of the proposals.</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 I revoke my proxy?</w:t>
            </w:r>
          </w:p>
        </w:tc>
      </w:tr>
      <w:tr>
        <w:trPr/>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registered stockholder, you can revoke your proxy at any time before it is exercised by: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70"/>
        <w:gridCol w:w="990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 properly signed proxy card with a more recent date, which must be received by 11:59 p.m., Eastern Time, on November 23, 2026;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again via the Internet, if you have previously voted via the Internet;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written notice of your revocation before the Special Meeting to Tracy D. Pagliara, our General Counsel and Secretary at our offices, 28 Engelhard Drive, Suite B, Monroe Township, NJ 08831, which we must receive by 11:59 p.m., Eastern Time, on November 23, 2026; or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in and voting your share electronically at the Special Meeting.</w:t>
            </w:r>
          </w:p>
        </w:tc>
      </w:tr>
    </w:tbl>
    <w:p>
      <w:pPr>
        <w:pStyle w:val="TextBody"/>
        <w:bidi w:val="0"/>
        <w:spacing w:before="0" w:after="0"/>
        <w:ind w:left="345" w:right="0" w:hanging="0"/>
        <w:jc w:val="both"/>
        <w:rPr>
          <w:caps w:val="false"/>
          <w:smallCaps w:val="false"/>
        </w:rPr>
      </w:pPr>
      <w:r>
        <w:rPr>
          <w:caps w:val="false"/>
          <w:smallCaps w:val="false"/>
        </w:rPr>
        <w:t> </w:t>
      </w:r>
    </w:p>
    <w:p>
      <w:pPr>
        <w:pStyle w:val="TextBody"/>
        <w:bidi w:val="0"/>
        <w:spacing w:before="0" w:after="0"/>
        <w:ind w:left="34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please refer to the voting instructions provided by your individual broker, bank, trustee or other nominee for their procedures for revoking or changing your vote.</w:t>
      </w:r>
    </w:p>
    <w:p>
      <w:pPr>
        <w:pStyle w:val="TextBody"/>
        <w:bidi w:val="0"/>
        <w:spacing w:before="0" w:after="0"/>
        <w:ind w:left="34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60"/>
        <w:gridCol w:w="9965"/>
      </w:tblGrid>
      <w:tr>
        <w:trPr/>
        <w:tc>
          <w:tcPr>
            <w:tcW w:w="18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if I experience technical issues with the virtual meeting platform?</w:t>
            </w:r>
          </w:p>
        </w:tc>
      </w:tr>
      <w:tr>
        <w:trPr/>
        <w:tc>
          <w:tcPr>
            <w:tcW w:w="18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technicians ready to assist you with any technical difficulties you may have while accessing the virtual Special Meeting. If you encounter any difficulties accessing the virtual meeting during check-in or during the Special Meeting, please call the technical support number that will be included in the reminder email you will receive the day before the meeting. We encourage you to access the virtual meeting prior to the start time. If you need assistance with registration, voting or have any questions, please contact Sodali &amp; Co. LLC, our proxy solicitor assisting us in connection with the Special Meeting.</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2"/>
        <w:gridCol w:w="60"/>
        <w:gridCol w:w="9963"/>
      </w:tblGrid>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will count the votes?</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Sodali &amp; Co. LLC will act as the inspector of the election and will count the votes.</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is my proxy being solicited and who pays the cost for such solicitation?</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many stockholders are unable to attend the Special Meeting, the Board solicits proxies to ensure that each stockholder has an opportunity to vote on all matters scheduled to come before the Special Meeting. In addition to the solicitation by the Board, we have retained Sodali &amp; Co. LLC, a proxy soliciting firm, to assist with the solicitation of proxies for a fixed fee of $25,000, plus reimbursement for out-of-pocket expenses and the possible payment of certain other supplemental fees. We will bear the costs of the proxy solicitation.</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is a “quorum?”</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is the participation electronically (given the virtual nature of the Special Meeting) or by proxy at the Special Meeting of the holders of a majority of the outstanding shares of our common stock as of the record date. There must be a quorum for the Special Meeting to be held. If you submit a valid proxy card or participate virtually at the Special Meeting, your shares will be counted to determine whether there is a quorum. Abstentions and broker non-votes will be counted toward the quorum.</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happens if there is not a quorum at the Special Meeting?</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bylaws, the Special Meeting may be adjourned by the chairman of the Special Meeting to reconvene at the same or some other place. If the adjournment is for more than 30 days, or if after the adjournment a new record date is fixed for the adjourned meeting, notice of the adjournment shall be given to each stockholder of record entitled to vote at the Special Meeting.</w:t>
            </w:r>
          </w:p>
          <w:p>
            <w:pPr>
              <w:pStyle w:val="TableContents"/>
              <w:bidi w:val="0"/>
              <w:spacing w:before="0" w:after="0"/>
              <w:ind w:left="0" w:right="0" w:hanging="0"/>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vote is required to approve the proposals?</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the Exchange Agreement proposal requires the affirmative vote of the holders of a majority of the shares represented at the Special Meeting, virtually or by proxy, and entitled to vote. The approval of the adjournment proposal requires the affirmative vote of the holders of a majority of shares of common stock represented at the Special Meeting, virtually or by proxy, and entitled to vote. </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shares are included on my proxy card?</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proxy card represents all shares registered to your account with the same social security number and address.</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does it mean if I get more than one proxy card?</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shares are probably registered in more than one account. You should vote each proxy card you receive. We encourage you to consolidate all your accounts by registering them in the same name, social security number and address. This can be accomplished by contacting your stockbroker.</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many votes can I cast?</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all matters, you are entitled to one vote per share of common stock.</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 can I find the voting results of the Special Meeting?</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Special Meeting. The final results will be published in a current report on Form 8-K to be filed promptly after the Special Meeting.</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can help answer my questions?</w:t>
            </w:r>
          </w:p>
        </w:tc>
      </w:tr>
      <w:tr>
        <w:trPr/>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99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if you need additional copies of this proxy statement or the enclosed proxy card, you should contact Sodali &amp; Co. LLC, our proxy solicitor, at (800) 662-5200. Banks and brokers may call collect at (203) 658-9400.</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PROPOSAL 1 PROPOSAL TO AUTHORIZE APPROVE, PURSUANT TO NYSE AMERICAN LISTING RULE 713(a), SHARES ISSUABLE UPON THE CONVERSION OF THE EXCHANGE NOTES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Principal Stockholders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Other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Y-001"/>
      <w:bookmarkEnd w:id="2"/>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Forward-looking statements are subject to certain risks, trends and uncertainties that could cause actual results to differ materially from those projected. Among those risks, trends and uncertainties 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improve, market and commercialize our products, and achieve and sustain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current legislation, regulations and economic conditions regarding Federal governmental tariffs;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comply with the covenants and other obligations under our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history of operating losses, which we expect to continue for at least the short-term and possibly longer;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protect our intellectual property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identify and penetrate markets for our products, services, and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effectively respond to competition in our targeted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maintain the listing of our common stock on the NYSE American;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reliability and continuous improvement of our technology, products and solutions;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increase or more efficiently utilize the synergies available from our product 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expand markets across geographic boundaries;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current geopolitical world uncertainty, including tariffs, the conflicts between the United States, Israel and Iran, Russia’s invasion of Ukraine, the Israel/Palestine conflict, current events in Venezuela and previous attacks on merchant ships in the Red Sea;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establish and maintain consistent commercial profit margins.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identified by their use of terms and phrases such as “expect,” “estimate,” “project,” “plan,” “believe,” “achievable,” “anticipate” and similar terms and phrases. Although we believe that the expectations reflected in these forward-looking statements are reasonable, they do involve certain assumptions, risks and uncertainties. Our actual results could differ materially from those anticipated in these forward-looking statements as a result of certain factors, including but not limited to the risks and uncertainties discussed in the section entitled “Risk Factors” included elsewhere in this proxy statement and in our Annual Report on Form 10-K for the fiscal year ended April 30, 2026 and our subsequent SEC filings.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attributable to us or persons acting on our behalf are expressly qualified in their entirety by the cautionary statements in this section and elsewhere in this proxy statement. Other than as required under the securities laws, we do not assume a duty to update these forward-looking statements, whether as a result of new information, subsequent events or circumstances, changes in expectations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these statements carefully because they discuss our expectations about our future performance, contain projections of our future operating results or our future financial condition, or state other “forward-looking” information. You should be aware that the occurrence of certain of the events described in this proxy statement could substantially harm our business, results of operations and financial condition and that upon the occurrence of any of these events, the trading price of our common stock could decline,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any future results, levels of activity, performance or achievements. Except as required by law, we undertake no obligation to update any of the forward-looking statements in this proxy statement after the date hereof.</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Y-002"/>
      <w:bookmarkEnd w:id="3"/>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TO APPROVE, PURSUANT TO NYSE AMERICAN LISTING RULE 713(a), OF MORE THAN 20% OF THE COMPANY’S ISSUED AND OUTSTANDING COMMON STOCK UPON THE CONVERSION OF THE EXCHANGE NOTES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General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you to approve a proposal to authorize the issuance of shares of our common stock upon the conversion of the Series D Senior Convertible Notes (each, an “Exchange Note” and collectively, the “Exchange Notes”) issued to certain investors (each, an “Investor” and collectively, the “Investors”) on September 25, 2026 pursuant to an exchange agreement (each, an “Exchange Agreement” and collectively, the “Exchange Agreements”) by and between the Company and each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for the issuance of shares in excess of 19.99% of the total number of shares of common stock (“Common Stock”) outstanding as of the date of the Exchange Agreements. If this Proposal 1 is not approved by our stockholders, the Company will not be able to extinguish its debt to the Investors through permitting each Investor to fully convert its respective Exchange Note. In that event, the Company anticipates it would need to seek alternative methods of repaying the debt owed to the Investors, likely under less favorable terms than those offered by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the Exchange Agreements and the Exchange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(the “Closing Date”), the Company entered into the Exchange Agreements with the Investors, pursuant to which the Company issued to the Investors convertible promissory notes in the aggregate principal amount of $7,797,343 (each, an “Exchange Note” and collectively, the “Exchange Notes”) in exchange for the cancellation of Series C-1 Senior Convertible Notes of the Company issued in April 2026 (collectively, the “Original Notes”), which Original Notes, as of the Closing Date, had outstanding principal and accrued but unpaid interest of $7,797,343.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Exchange Note accrues interest at the rate of 4.5% per annum, unless an event of default (as defined in each Exchange Note) occurs, at which time such Exchange Note would accrue interest at 13% per annum. Each Exchange Note will mature on October 1, 2027. Each Exchange Note is convertible into shares (collectively, the “Conversion Shares”) of the Common Stock at any time at a conversion price (the “Conversion Price”) equal to $2.45, or an alternative conversion price equal to 93% of the lowest VWAP (as defined in the Exchange Notes) of the Common Stock during the seven trading days prior to the applicable conversion date. The Conversion Price is subject to customary adjustments upon any stock split, stock dividend, stock combination, recapitalization or similar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issue Conversion Shares to the extent such issuances would result in an aggregate number of shares of Common Stock exceeding 19.99% of the total shares of Common Stock issued and outstanding as of the Closing Date, in accordance with the rules and regulations of the NYSE American unless the Company first obtains stockholder approval (the “Exchange Stockholder Approval”). Pursuant to the Exchange Agreements, the Company agreed to file a proxy statement to obtain the Exchange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Approval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the number of shares to be issued to the Investors is initially limited to 19.99% of the total number of shares of Common Stock outstanding as of the Closing Date until such time as the stockholders of the Company approve the issuance of the additional Conversion Shares. We have agreed to promptly seek such stockholder approval and are seeking such approval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713(a) of the NYSE American requires stockholder approval of a transaction, other than a public offering, involving the sale, issuance or potential issuance by an issuer of Common Stock (or securities convertible into or exercisable for Common Stock) at a price less than the greater of book or market value which together with sales by officers, directors or principal stockholders of the issuer equals 20% or more of presently outstanding Common Stock, or equal to 20% or more of presently outstanding stock for less than the greater of book or market value of the stock, or when the issuance or potential issuance of additional shares will result in a change of control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approval of this Proposal 1 will constitute stockholder approval for purposes of Rule 713(a) of the NYSE American.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 need of financing to fund its operations at the time of the issuance of the Original Notes, and did not have the capital to make the required amortization payments on the Original Notes, necessitating the issuance of the Exchange Notes. The Company further expects that it will need to raise significant cash financing to operate and expand its operations in the foreseeable future. If this Proposal 1 is not approved by our stockholders, the Company will not be able to extinguish its debt to the Investors through permitting each Investor to fully convert its respective Exchange Note. In that event, the Company anticipates it would need to seek alternative methods of repaying the debt owed to the Investors, likely under less favorable terms than those offered by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Current Stockholders; Dilution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Notes do not affect the rights of the holders of outstanding Common Stock, but the issuance of Conversion Shares to the Investors pursuant to the terms of the Exchange Notes will have a dilutive effect on our existing stockholders, including the voting power and the economic rights of the existing stockholders. If we were to have issued an estimated total of 3,182,589 Conversion Shares, assuming the entirety of the Exchange Notes had been converted on the Record Date at the Conversion Price, the Investors would have collectively acquired approximately 25.9% of the 12,276,748 shares of Common Stock that would then have been outstanding as of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for sale of a large number of shares by the Investors may depress the market price of our Common Stock and, going forward, may impair our ability to raise additional capital through the public sale of our Common Stock. We do not have any arrangement with the Investors to address the possible effect on the price of our Common Stock of the sale by any Investor of its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Exchange Notes, the Company shall not issue, and the Investors shall not acquire, any shares of our Common Stock under the Exchange Notes if such shares proposed to be issued and sold, when aggregated with all other shares of our Common Stock then beneficially owned (as calculated pursuant to Section 13(d) of the Securities Exchange Act of 1934, as amended) by the Investors and their respective affiliates, would result in the beneficial ownership by the Investors and their respective affiliates in excess of the maximum percentage of the shares of Common Stock outstanding immediately after giving effect to such conversion. This beneficial ownership limitation limits the number of shares an Investor may beneficially own at any one time to 4.99% of our outstanding Common Stock. Consequently, the number of shares an Investor may beneficially own in compliance with the beneficial ownership limitation may increase over time as the number of outstanding shares of our Common Stock increases over time. An Investor may sell some or all of the shares it acquires under its respective Exchange Note, subject to such Investor’s compliance with the Securities Act and applicable state law. Even though an Investor’s beneficial ownership of our Common Stock is subject to such maximum percentage, such Investor may be in a position to exert influence over the Company and there is no guarantee that the interests of an Investor will align with the interests of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this proposal requires the affirmative vote of the holders of a majority of the outstanding shares entitled to vote at the Special Meeting, virtually or by proxy. For the approval of the issuance of shares underlying the Exchange Notes to the Investors, you may vote “FOR” or “AGAINST” or abstain from voting. If you hold your shares in your own name and abstain from voting on this matter, your abstention will have the effect of a vote “AGAINST” this amendment. Because this is a non-routine matter, if you hold your shares through a broker, bank, trustee or other nominee and you do not instruct them how to vote on this proposal, your broker will not have authority to vote your shares. As a result, a failure to instruct your broker, bank or other nominee on how to vote your shares will necessarily count as a vote against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approval of the issuance of 20% or more of the outstanding shares of Common Stock upon conversion of the Exchange Notes by the Investors in order to comply with Rule 713(a) of the NYSE American.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our stockholders to approve an adjournment of the Special Meeting from time to time, if necessary or appropriate (as determined in good faith by the Board or a committee thereof), to solicit additional proxies if there are not sufficient votes in favor of Proposal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represented at the Special Meeting, virtually or by proxy, and entitled to vote is required to approve this proposal. For the approval of this proposal, you may vote “FOR” or “AGAINST” or abstain from voting. If you hold your shares in your own name and abstain from voting on this matter, your abstention will have the effect of a vote “AGAINST” this amendment. Because this is a routine matter, if you hold your shares through a broker, bank, trustee or other nominee and you do not instruct them how to vote on this proposal, your broker may have authority to vote your shares. As a result, a failure to instruct your broker, bank or other nominee on how to vote your shares will not necessarily count as a vote against this proposal.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 that you vote “FOR” the Adjournment Proposal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Y-003"/>
      <w:bookmarkEnd w:id="4"/>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Y-004"/>
      <w:bookmarkEnd w:id="5"/>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Common Stock as of the Record Date by:</w:t>
      </w:r>
    </w:p>
    <w:p>
      <w:pPr>
        <w:pStyle w:val="TextBody"/>
        <w:bidi w:val="0"/>
        <w:spacing w:before="0" w:after="0"/>
        <w:ind w:left="0" w:right="0" w:firstLine="36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known by us to beneficially own 5% or more of the outstanding class of our capital stock;</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Board;</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8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To our knowledge, each of the holders of capital stock listed below has sole voting and investment power as to the capital stock owned unless otherwise noted. The percentage of Common Stock beneficially owned is based on 9,094,159 shares of our Common Stock outstanding as of the Record Date. The address for each of the below individuals is c/o Ocean Power Technologies, Inc., 28 Engelhard Drive, Suite B, Monroe Township, NJ 08831.</w:t>
      </w:r>
    </w:p>
    <w:p>
      <w:pPr>
        <w:pStyle w:val="TextBody"/>
        <w:bidi w:val="0"/>
        <w:spacing w:before="0" w:after="0"/>
        <w:ind w:left="0" w:right="0" w:firstLine="490"/>
        <w:jc w:val="both"/>
        <w:rPr>
          <w:caps w:val="false"/>
          <w:smallCaps w:val="false"/>
        </w:rPr>
      </w:pPr>
      <w:r>
        <w:rPr>
          <w:caps w:val="false"/>
          <w:smallCaps w:val="false"/>
        </w:rPr>
        <w:t> </w:t>
      </w:r>
    </w:p>
    <w:tbl>
      <w:tblPr>
        <w:tblW w:w="9343" w:type="dxa"/>
        <w:jc w:val="left"/>
        <w:tblInd w:w="0" w:type="dxa"/>
        <w:tblLayout w:type="fixed"/>
        <w:tblCellMar>
          <w:top w:w="0" w:type="dxa"/>
          <w:left w:w="0" w:type="dxa"/>
          <w:bottom w:w="28" w:type="dxa"/>
          <w:right w:w="0" w:type="dxa"/>
        </w:tblCellMar>
      </w:tblPr>
      <w:tblGrid>
        <w:gridCol w:w="5705"/>
        <w:gridCol w:w="60"/>
        <w:gridCol w:w="134"/>
        <w:gridCol w:w="1535"/>
        <w:gridCol w:w="60"/>
        <w:gridCol w:w="60"/>
        <w:gridCol w:w="514"/>
        <w:gridCol w:w="1200"/>
        <w:gridCol w:w="75"/>
      </w:tblGrid>
      <w:tr>
        <w:trPr/>
        <w:tc>
          <w:tcPr>
            <w:tcW w:w="5705" w:type="dxa"/>
            <w:tcBorders>
              <w:bottom w:val="single" w:sz="8"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Share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c>
          <w:tcPr>
            <w:tcW w:w="75" w:type="dxa"/>
            <w:tcBorders/>
            <w:tcMar>
              <w:bottom w:w="0" w:type="dxa"/>
            </w:tcMar>
            <w:vAlign w:val="center"/>
          </w:tcPr>
          <w:p>
            <w:pPr>
              <w:pStyle w:val="TableContents"/>
              <w:bidi w:val="0"/>
              <w:spacing w:before="0" w:after="283"/>
              <w:jc w:val="left"/>
              <w:rPr/>
            </w:pPr>
            <w:r>
              <w:rPr/>
              <w:t> </w:t>
            </w:r>
          </w:p>
        </w:tc>
      </w:tr>
      <w:tr>
        <w:trPr/>
        <w:tc>
          <w:tcPr>
            <w:tcW w:w="5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Tracy Pagliara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14,793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4"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705" w:type="dxa"/>
            <w:tcBorders/>
            <w:shd w:fill="FFFFFF" w:val="clear"/>
            <w:tcMar>
              <w:bottom w:w="0" w:type="dxa"/>
            </w:tcMar>
            <w:vAlign w:val="center"/>
          </w:tcPr>
          <w:p>
            <w:pPr>
              <w:pStyle w:val="TableContents"/>
              <w:bidi w:val="0"/>
              <w:spacing w:before="0" w:after="283"/>
              <w:jc w:val="left"/>
              <w:rPr/>
            </w:pPr>
            <w:r>
              <w:rPr/>
              <w:t>Joseph DiGuardo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2,907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4"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Clyde W. Hewlett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32,730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4"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t>Corliss J. Montesi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4"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Jim Thompson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4"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t>Robert Powers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20,939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4"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4"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t>All director and executive officers as a group (6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71,369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4"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a beneficial ownership of less than one percent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Beneficial ownership includes 32,092 shares of our Common Stock, and 638 shares issuable upon the exercise of options that are currently exercisable or exercisable within sixty days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Deadlines for Notice of Stockholder Actions to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various rules promulgated by the SEC, stockholders interested in submitting a proposal to be considered for inclusion in our proxy materials and for presentation at our 2026 Annual Meeting of Stockholders (the “2026 Annual Meeting”) may do so by following the procedures set forth in Rule 14a-8 under the Exchange Act. In general, to be eligible for inclusion in our proxy materials, Rule 14a-8 stockholder proposals must be received by our Corporate Secretary at our principal executive officers (located at 28 Engelhard Drive, Suite B, Monroe Township, NJ 08831) no later than August 4, 2026.</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of record who desires to submit a proposal of business (other than stockholder proposals in accordance with Rule 14a-8) for action at the 2026 Annual Meeting must deliver written notice of an intent to make such proposal of business to our Corporate Secretary at Ocean Power Technologies, Inc., 28 Engelhard Drive, Suite B, Monroe Township, NJ 08831 no earlier than September 29, 2026 and no later than October 29, 2026. However, if the date of the 2026 Annual Meeting is more than twenty (20) days before or sixty (60) days after the first anniversary of the date of the 2025 Annual Meeting, then such notice must be delivered to our Corporate Secretary no later than the close of business on the later of (A) the ninetieth (90th) day prior to the 2026 Annual Meeting and (B)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Nominations for Director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of record who desires to nominate one or more director candidates at the 2026 Annual Meeting must deliver written notice of an intent to make such director nomination to our Corporate Secretary at Ocean Power Technologies, Inc., 28 Engelhard Drive, Suite B, Monroe Township, NJ 08831 no earlier than September 29, 2026 and no later than October 29, 2026. However, if the date of the 2026 Annual Meeting is more than twenty (20) days before or sixty (60) days after the first anniversary of the date of the 2025 Annual Meeting, then such notice must be delivered to our Corporate Secretary no later than the close of business on the later of (A) the ninetieth (90th) day prior to the 2026 Annual Meeting and (B)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notice of the date of the 2026 Annual Meeting was mailed or public disclosure of the date of the 2026 Annual Meeting was made, whichever first occurs). Any such notice must also comply with the timing, disclosure, procedural, and other requirements as set forth in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requirements under our Bylaws described in the immediately preceding paragraph, to comply with the universal proxy rules under the Exchange Act, any stockholder who intends to solicit proxies in support of director nominees other than the Board’s nominees must provide notice that sets forth the information required by Rule 14a-19 under the Exchange Act in accordance with the time period set forth immediately above for providing notice of stockholder nominations for director candidates.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Y-005"/>
      <w:bookmarkEnd w:id="6"/>
      <w:r>
        <w:rPr>
          <w:rFonts w:ascii="Times New Roman;Times;Serif" w:hAnsi="Times New Roman;Times;Serif"/>
          <w:b/>
          <w:i w:val="false"/>
          <w:caps w:val="false"/>
          <w:smallCaps w:val="false"/>
          <w:sz w:val="20"/>
        </w:rPr>
        <w:t>Other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current and special reports, proxy statements, and other information with the SEC. Our SEC filings are available to the public over the internet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on our website at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 You may also read and copy any document we file with the SEC at its public reference facilities at 100 F Street, N.E., Washington, D.C. 20549.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request copies of any of our filings by writing or telephoning us at our principal executive offices: Corporate Secretary, Ocean Power Technologies, Inc., 28 Engelhard Drive, Suite B, Monroe Township, NJ 08831.</w:t>
      </w:r>
    </w:p>
    <w:p>
      <w:pPr>
        <w:pStyle w:val="TextBody"/>
        <w:bidi w:val="0"/>
        <w:spacing w:before="0" w:after="0"/>
        <w:ind w:left="0" w:right="0" w:firstLine="360"/>
        <w:jc w:val="both"/>
        <w:rPr>
          <w:caps w:val="false"/>
          <w:smallCaps w:val="false"/>
        </w:rPr>
      </w:pPr>
      <w:r>
        <w:rPr>
          <w:caps w:val="false"/>
          <w:smallCaps w:val="false"/>
        </w:rPr>
        <w:t> </w:t>
      </w:r>
    </w:p>
    <w:tbl>
      <w:tblPr>
        <w:tblW w:w="3860" w:type="dxa"/>
        <w:jc w:val="left"/>
        <w:tblInd w:w="0" w:type="dxa"/>
        <w:tblLayout w:type="fixed"/>
        <w:tblCellMar>
          <w:top w:w="0" w:type="dxa"/>
          <w:left w:w="0" w:type="dxa"/>
          <w:bottom w:w="0" w:type="dxa"/>
          <w:right w:w="0" w:type="dxa"/>
        </w:tblCellMar>
      </w:tblPr>
      <w:tblGrid>
        <w:gridCol w:w="75"/>
        <w:gridCol w:w="60"/>
        <w:gridCol w:w="372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6084</Words>
  <Characters>31179</Characters>
  <CharactersWithSpaces>37417</CharactersWithSpaces>
  <Paragraphs>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