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001-33417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28 Engelhard Drive,</w:t>
      </w:r>
    </w:p>
    <w:p>
      <w:pPr>
        <w:spacing w:after="0" w:line="3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Suite B Monroe Township, New Jersey</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08831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 (s)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 2026, Ocean Power Technologies, Inc. (the “Company”) entered into a securities purchase agreement (the “Securities Purchase Agreement”) with certain institutional investors (the “Investors”) under which the Company agreed to issue and sell convertible notes for an aggregate principal amount of $10,000,000 (the “Notes”) that will be convertible into shares of the Company’s common stock, par value of $0.001 per share (the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covenants. The Notes contain customary affirmative and negative covenants, including certain limitations on debt, liens, restricted payments, asset transfers, changes in the business and transactions with affiliates. The Notes also contain standard and customary events of default.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Note may be converted to the extent that such conversion would cause a holder of such Note to become the beneficial owner of more than 4.99% of the then outstanding Common Stock, after giving effect to such conversion (the “Beneficial Ownership Cap”).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bear interest at an interest rate of 4.5% per annum except that upon the occurrence and during the continuance of an event of default, interest will accrue on the Notes at an interest rate of 13% per annum. Unless earlier converted, the Notes will mature on the eighteen-month anniversary of their issuance dates at a premium to 13% to the face value of the Notes.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the issuance date, all amounts due under the Notes are convertible, in whole or in part, and subject to the Beneficial Ownership Cap, at a conversion price equal to $0.40, which is subject to customary adjustments upon any stock split, stock dividend, stock combination, recapitalization or similar events. Starting on the closing date, the Notes amortize quarterly. We will make quarterly payments on the first trading day of each three-month anniversary commencing on the closing date through the maturity date, payable in cash. The Notes will rank senior to the right to payment of the holders of our unsecured debt, subject to certain exceptions.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and shares issuable upon conversion of the Notes are being offered and sold pursuant to a prospectus supplement filed in connection with a “takedown” from the Company’s shelf registration statement on Form S-3 (File No. 333-275843) declared effective on December 12,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and the Notes are not complete and are qualified in its entirety by reference to the full text of those agreements, copies of which are included as Exhibits 10.1 and 10.2 hereto, and incorporated by reference herein. An opinion of counsel regarding the validity of the securities being issued and sold by the Company in the transactions described in the Securities Purchase Agreement is filed as Exhibit 5.1.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hereby incorporated by reference in its entirety.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4"/>
                <w:szCs w:val="14"/>
                <w:color w:val="auto"/>
              </w:rPr>
            </w:pPr>
          </w:p>
        </w:tc>
        <w:tc>
          <w:tcPr>
            <w:tcW w:w="1014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Opinion of Porter Hedges LLP.</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Securities Purchase Agreement dated April 1, 2026 between Ocean Power Technologies, Inc. and the investors party thereto.</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89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Form of Series C-1 Convertible Note dated April 1, 2026 issued by Ocean Power Technologies, Inc. to the holder.</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Porter Hedges LLP (included in Exhibit 5.1).</w:t>
            </w:r>
          </w:p>
        </w:tc>
        <w:tc>
          <w:tcPr>
            <w:tcW w:w="4120" w:type="dxa"/>
            <w:vAlign w:val="bottom"/>
            <w:tcBorders>
              <w:top w:val="single" w:sz="8" w:color="0000EE"/>
            </w:tcBorders>
          </w:tcPr>
          <w:p>
            <w:pPr>
              <w:spacing w:after="0"/>
              <w:rPr>
                <w:sz w:val="17"/>
                <w:szCs w:val="17"/>
                <w:color w:val="auto"/>
              </w:rPr>
            </w:pPr>
          </w:p>
        </w:tc>
        <w:tc>
          <w:tcPr>
            <w:tcW w:w="1940" w:type="dxa"/>
            <w:vAlign w:val="bottom"/>
            <w:gridSpan w:val="2"/>
          </w:tcPr>
          <w:p>
            <w:pPr>
              <w:spacing w:after="0"/>
              <w:rPr>
                <w:sz w:val="17"/>
                <w:szCs w:val="17"/>
                <w:color w:val="auto"/>
              </w:rPr>
            </w:pPr>
          </w:p>
        </w:tc>
      </w:tr>
    </w:tbl>
    <w:p>
      <w:pPr>
        <w:spacing w:after="0" w:line="9" w:lineRule="exact"/>
        <w:rPr>
          <w:sz w:val="20"/>
          <w:szCs w:val="20"/>
          <w:color w:val="auto"/>
        </w:rPr>
      </w:pPr>
    </w:p>
    <w:p>
      <w:pPr>
        <w:ind w:right="4320" w:firstLine="8"/>
        <w:spacing w:after="0" w:line="532" w:lineRule="auto"/>
        <w:tabs>
          <w:tab w:leader="none" w:pos="10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 Main Street, 36th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-119380</wp:posOffset>
            </wp:positionV>
            <wp:extent cx="8255"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40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337756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7565" cy="8401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{713} 226-6000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Telecopier {713} 228-1331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porterhedges.com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 2026</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014660/0032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Monroe Township, New Jersey 08831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Ocean Power Technologies,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for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prospectus supplement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related to the Company’s shelf registration statement on Form S-3 (Registration No. 333-275843)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Prospectus Supplement relates to the issuance by the Company of up to $10,000,000 of aggregate principal amount of Series C-1 Senior Convertible Notes due 2027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and the shares of common stock, $0.001 par value per share, of the Company initially issuable upon conversion of the Notes (the “</w:t>
      </w:r>
      <w:r>
        <w:rPr>
          <w:rFonts w:ascii="Times New Roman" w:cs="Times New Roman" w:eastAsia="Times New Roman" w:hAnsi="Times New Roman"/>
          <w:sz w:val="18"/>
          <w:szCs w:val="18"/>
          <w:b w:val="1"/>
          <w:bCs w:val="1"/>
          <w:i w:val="1"/>
          <w:iCs w:val="1"/>
          <w:color w:val="auto"/>
        </w:rPr>
        <w:t>Conversion Shares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pursuant to the Registration Statement and the Prospectus Supplement.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the opinions we express below, we have examined the originals or copies, certified or otherwise identified, of: (i) the Certificate of Incorporation and Bylaws, each as amended to date, of the Company; (ii) the Registration Statement; (iii) the Prospectus Supplement; and (v) the corporate records of the Company, including minute books of the Company, certificates of public officials and of representatives of the Company, statutes and other instruments and documents as we considered appropriate for purposes of the opinions hereafter expressed. In giving such opinions, we have relied upon certificates of officers of the Company and of public officials with respect to the accuracy of the material factual matters contained in such certificates. In giving the opinions below, we have assumed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making our examination, we have assumed and have not verified (i) that all signatures on documents examined by us are genuine, (ii) the legal capacity of all natural persons, (iii) the authenticity of all documents submitted to us as originals, and (iv) the conformity to the original documents of all documents submitted to us as copies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Based on the foregoing, and subject to the assumptions, exceptions and qualifications set forth herein, we are of the opinion that, when (i) the Prospectus Supplement has been delivered and filed as required by such laws; (ii) the board of directors of the Company has taken all necessary corporate action to authorize the issuance of the Notes and the Conversion Shares and related matters; and (iii) the Notes have been duly executed, authenticated, issued and delivered as contemplated by the Registration Statement and the Prospectus, then (a) the Notes will constitute the valid and legally binding obligations of the Company, enforceable against the Company in accordance with their terms, and (b) the Conversion Shares have been duly authorized and, when issued by the Company upon conversion of the Notes in accordance with the terms of the Notes, will be validly issued, fully paid and nonassessable.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opinion set forth above in clause (a) above is subject to and limited by the effect of (i) applicable bankruptcy, insolvency, fraudulent conveyance and transfer, receivership, conservatorship, arrangement, moratorium and other similar laws affecting or relating to the rights of creditors generally, (ii) general equitable principles (whether considered in a proceeding in equity or at law) and (iii) requirements of reasonableness, good faith, materiality and fair dealing and the discretion of the court before which any matter may be brought.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General Corporation Law of the State of Delaware and the federal securities laws of the United States of America.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Company’s Current Report on Form 8-K. We also consent to the references to our Firm under the heading “Legal Matters” in the Prospectus Supplement. In giving this consent, we do not hereby admit we are in the category of persons whose consent is required under Section 7 of the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Porter Hedges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PORTER HEDGES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1, 2026, is by and among Ocean Power Technologies, Inc., a Delaware corporation with offices located at 28 Engelhard Drive, Suite B, Monroe Township, New Jersey 08534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listed on the Schedule of Buyers attached hereto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Company and each Buyer desire to enter into this transaction to purchase Notes (as defined below) pursuant to a currently effective shelf registration statement on Form S-3, which has sufficient availability for the issuance of the Securities (as defined below) on the Closing Date (as defined below) (Registration Number 333-275843)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has been declared effective in accordance with the 1933 Act, by the SEC.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Company has authorized a new series of senior convertible notes of the Company, in the aggregate original principal amount of $10,000,000, substantially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Notes shall be convertible into shares of Common Stock (as defined below) (the shares of Common Stock issuable pursuant to the terms of the Notes, including, without limitation, upon conversion or otherwise, collectively,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in accordance with the terms of the Notes.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Each Buyer wishes to purchase, and the Company wishes to sell, upon the terms and conditions stated in this Agreement, a Note in the aggregate original principal amount set forth opposite such Buyer’s name in column (3) on the Schedule of Buyers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Notes and the Conversion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8"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NOTES.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Notes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from the Company on the Closing Date (as defined below) a Note in the original principal amount as is set forth opposite such Buyer’s name in column (3) on the 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656"/>
        <w:spacing w:after="0" w:line="255" w:lineRule="auto"/>
        <w:tabs>
          <w:tab w:leader="none" w:pos="90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purchase of the Notes by the Buyers shall occur at the offices of Kelley Drye &amp; Warren LLP, 3 World Trade Center, 175 Greenwich Street, New York, NY 10007. The date and time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10:00 a.m., New York time, on the first (1st) Business Day on which the conditions to the Closing set forth in Sections 6 and 7 below are satisfied or waived (or such other date as is mutually agreed to by the Company and each Buyer).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Notes to be purchased by each Buyer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the amount set forth opposite such Buyer’s name in column (4) on the Schedule of Buyers.</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(i) each Buyer shall pay its respective Purchase Price (less, in the case of any Buyer, the amounts withheld pursuant to Section 4(g)) to the Company for the Notes to be issued and sold to such Buyer at the Closing, by wire transfer of immediately available funds in accordance with the Flow of Funds Letter (as defined below) and (ii) the Company shall deliver to each Buyer a Note in the aggregate original principal amount as is set forth opposite such Buyer’s name in column (3) of the Schedule of Buyers, duly executed on behalf of the Company and registered in the name of such Buyer or its designee.</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with respect to only itself that, as of the date hereof and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656"/>
        <w:spacing w:after="0" w:line="266"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has been duly and validly authorized, executed and delivered on behalf of such Buyer and shall constitute the legal, valid and binding obligations of such Buyer enforceable against such Buyer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firstLine="656"/>
        <w:spacing w:after="0" w:line="282" w:lineRule="auto"/>
        <w:tabs>
          <w:tab w:leader="none" w:pos="9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Group</w:t>
      </w:r>
      <w:r>
        <w:rPr>
          <w:rFonts w:ascii="Times New Roman" w:cs="Times New Roman" w:eastAsia="Times New Roman" w:hAnsi="Times New Roman"/>
          <w:sz w:val="18"/>
          <w:szCs w:val="18"/>
          <w:color w:val="auto"/>
        </w:rPr>
        <w:t>. Other than affiliates of such Buyer who are also Buyers under this Agreement, such Buyer is not under common control with or acting in concert with any other Buyer and is not part of a “group” for purposes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each of the Buyers that, as of the date hereof and as of the Closing Date:</w:t>
      </w:r>
    </w:p>
    <w:p>
      <w:pPr>
        <w:spacing w:after="0" w:line="225" w:lineRule="exact"/>
        <w:rPr>
          <w:sz w:val="20"/>
          <w:szCs w:val="20"/>
          <w:color w:val="auto"/>
        </w:rPr>
      </w:pPr>
    </w:p>
    <w:p>
      <w:pPr>
        <w:jc w:val="both"/>
        <w:ind w:firstLine="656"/>
        <w:spacing w:after="0" w:line="253" w:lineRule="auto"/>
        <w:tabs>
          <w:tab w:leader="none" w:pos="8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(if a good standing concept exists in such jurisdiction)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Other than the Persons (as defined below) set forth on </w:t>
      </w:r>
      <w:r>
        <w:rPr>
          <w:rFonts w:ascii="Times New Roman" w:cs="Times New Roman" w:eastAsia="Times New Roman" w:hAnsi="Times New Roman"/>
          <w:sz w:val="18"/>
          <w:szCs w:val="18"/>
          <w:u w:val="single" w:color="auto"/>
          <w:color w:val="auto"/>
        </w:rPr>
        <w:t>Schedule 3(a)</w:t>
      </w:r>
      <w:r>
        <w:rPr>
          <w:rFonts w:ascii="Times New Roman" w:cs="Times New Roman" w:eastAsia="Times New Roman" w:hAnsi="Times New Roman"/>
          <w:sz w:val="18"/>
          <w:szCs w:val="18"/>
          <w:color w:val="auto"/>
        </w:rPr>
        <w:t>, the Company has no Subsidiaries.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Notes and the reservation for issuance and issuance of the Conversion Shares issuable upon conversion of the Notes) have been duly authorized by the Company’s board of directors (other than (i) the filing with the SEC of (A) the 8-K Filing (as defined below), (B) a prospectus supplement in connection with the Closing as required by the Registration Statement pursuant to Rule 424(b) under the 1933 Act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supplementing the base prospectus forming part of the Registration Statement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 the filing of a Supplemental Listing Application (as defined below) with the Principal Market (as defined below) and (D) any other filings as may be required by any state securities agencies (collectively, the “</w:t>
      </w:r>
      <w:r>
        <w:rPr>
          <w:rFonts w:ascii="Times New Roman" w:cs="Times New Roman" w:eastAsia="Times New Roman" w:hAnsi="Times New Roman"/>
          <w:sz w:val="18"/>
          <w:szCs w:val="18"/>
          <w:b w:val="1"/>
          <w:bCs w:val="1"/>
          <w:color w:val="auto"/>
        </w:rPr>
        <w:t>Required Approvals</w:t>
      </w:r>
      <w:r>
        <w:rPr>
          <w:rFonts w:ascii="Times New Roman" w:cs="Times New Roman" w:eastAsia="Times New Roman" w:hAnsi="Times New Roman"/>
          <w:sz w:val="18"/>
          <w:szCs w:val="18"/>
          <w:color w:val="auto"/>
        </w:rPr>
        <w:t>”) and no further filing, consent or authorization is required by the Company, its board of directors or its stockholders or other governing body.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the Notes,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656"/>
        <w:spacing w:after="0" w:line="251" w:lineRule="auto"/>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 Registration Statement</w:t>
      </w:r>
      <w:r>
        <w:rPr>
          <w:rFonts w:ascii="Times New Roman" w:cs="Times New Roman" w:eastAsia="Times New Roman" w:hAnsi="Times New Roman"/>
          <w:sz w:val="18"/>
          <w:szCs w:val="18"/>
          <w:color w:val="auto"/>
        </w:rPr>
        <w:t>. The issuance of the Notes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xml:space="preserve">”) with respect to the issuance thereof. Prior to the Closing, the Company shall have reserved from its duly authorized capital stock not less than the Required Reserve Amount (as defined below). Upon issuance or conversion in accordance with the Notes, the Conversion Shares, when issued, will be validly issued, fully paid and nonassessable and free from all preemptive or similar rights or Liens with respect to the issue thereof, with the holders being entitled to all rights accorded to a holder of Common Stock. The issuance by the Company of the Securities has been registered under the 1933 Act, the Securities are being issued pursuant to the Registration Statement and all of the Securities are freely transferable and freely tradable by each of the Buyers without restriction, whether by way of registration or some exemption therefrom.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under the Registration Statement permits the issuance and sale of the Securities hereunder and as contemplated by the other Transaction Documents. Upon receipt of the Securities, each of the Buyers will have good and marketable title to the Securities. The Registration Statement and any prospectus included therein, including the Prospectus and the Prospectus Supplement, complied in all material respects with the requirements of the 1933 Act, the 1934 Act and the rules and regulations of the SEC promulgated thereunder and all other applicable laws and regulations. At the time the Registration Statement and any amendments thereto became effective, at the date of this Agreement and at each deemed effective date thereof pursuant to Rule 430B(f)(2) of the 1933 Act, the Registration Statement and any amendments thereto complied and will comply in all material respects with the requirements of the 1933 Act and did not and will not contain any untrue statement of a material fact or omit to state any material fact required to be stated therein or necessary to make the statements therein not misleading. The Prospectus and any amendments or supplements thereto (including, without limitation the Prospectus Supplement), at the time the Prospectus or any amendment or supplement thereto was issued and at the Closing Date, complied, and will comply, in all material respects with the requirements of the 1933 Act and did not, and will not, contain any untrue statement of a material fact or omit to state a material fact necessary in order to make the statements therein, in light of the circumstances under which they were made, not misleading. The Company meets all of the requirements for the use of Form S-3 under the 1933 Act for the offering and sale of the Securities contemplated by this Agreement and the other Transaction Documents, and the SEC has not notified the Company of any objection to the use of the form of the Registration Statement pursuant to Rule 401(g)(1) under the 1933 Act. The Registration Statement meets the requirements set forth in Rule 415(a)(1)(x) under the 1933 Act. At the earliest time after the filing of the Registration Statement that the Company or another offering participant made a bona fide offer (within the meaning of Rule 164(h)(2) under the 1933 Act) relating to any of the Securities, the Company was not and is not an “Ineligible Issuer” (as defined in Rule 405 under the 1933 Act). The Registration Statement has been filed with the SEC not earlier than three years prior to the date hereof; and no notice of objection of the SEC to the use of such registration statement or any post-effective amendment thereto pursuant to Rule 401(g)(2) under the 1933 Act has been received by the Company. No order suspending the effectiveness of the Registration Statement has been issued by the SEC and no proceeding for that purpose or pursuant to Section 8A of the 1933 Act against the Company or related to the offering has been initiated or threatened by the SEC; as of the effective time of the Registration Statement, the Registration Statement complied and will comply in all material respects with the 1933 Act and did not contain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such applicable Closing Date, the Prospectus did not and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in the Registration Statement and the Prospectus and any amendment or supplement thereto made in reliance upon and in conformity with information relating to any underwriter or placement agent furnished to the Company in writing by such underwriter or placement agent expressly for use therein. The Company (i) has not distributed any offering material in connection with the offer or sale of any of the Securities and (ii) until no Buyer holds any of the Securities, shall not distribute any offering material in connection with the offer or sale of any of the Securities to, or by, any of the Buyers (if required), in each case, other than the Registration Statement, the Prospectus or the Prospectus Supplement. In accordance with Rule 5110(b)(7)(C)(i) of the Financial Industry Regulatory Authority Manual, the offering of the Securities has been registered with the SEC on Form S-3 under the 1933 Act pursuant to the standards for Form S-3 in effect prior to October 21, 1992, and the Securities are being offered pursuant to Rule 415 promulgated under the 1933 Act.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656"/>
        <w:spacing w:after="0" w:line="267" w:lineRule="auto"/>
        <w:tabs>
          <w:tab w:leader="none" w:pos="943"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xml:space="preserve">. The execution, delivery and performance of the Transaction Documents by the Company and its Subsidiaries and the consummation by the Company and its Subsidiaries of the transactions contemplated hereby and thereby (including, without limitation, the issuance of the Notes, the Conversion Shares and the reservation for issuance of the Conversion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NYSE American (the </w:t>
      </w:r>
      <w:r>
        <w:rPr>
          <w:rFonts w:ascii="Times New Roman" w:cs="Times New Roman" w:eastAsia="Times New Roman" w:hAnsi="Times New Roman"/>
          <w:sz w:val="17"/>
          <w:szCs w:val="17"/>
          <w:b w:val="1"/>
          <w:bCs w:val="1"/>
          <w:color w:val="auto"/>
        </w:rPr>
        <w:t>“Principal Market</w:t>
      </w:r>
      <w:r>
        <w:rPr>
          <w:rFonts w:ascii="Times New Roman" w:cs="Times New Roman" w:eastAsia="Times New Roman" w:hAnsi="Times New Roman"/>
          <w:sz w:val="17"/>
          <w:szCs w:val="17"/>
          <w:color w:val="auto"/>
        </w:rPr>
        <w:t>”) and including all applicable foreign, federal and state laws, rules and regulations) applicable to the Company or any of its Subsidiaries or by which any property or asset of the Company or any of its Subsidiaries is bound or affected, assuming, with respect to clauses (ii) and</w:t>
      </w:r>
    </w:p>
    <w:p>
      <w:pPr>
        <w:spacing w:after="0" w:line="2" w:lineRule="exact"/>
        <w:rPr>
          <w:rFonts w:ascii="Times New Roman" w:cs="Times New Roman" w:eastAsia="Times New Roman" w:hAnsi="Times New Roman"/>
          <w:sz w:val="17"/>
          <w:szCs w:val="17"/>
          <w:color w:val="auto"/>
        </w:rPr>
      </w:pPr>
    </w:p>
    <w:p>
      <w:pPr>
        <w:ind w:firstLine="8"/>
        <w:spacing w:after="0" w:line="260"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receipt of the Required Approvals and except in the case of clauses (ii) and (iii) above, for such breaches, violations or conflicts as would not reasonably be expected, individually or in the aggregate, to results in a Material Adverse Effect.</w:t>
      </w:r>
    </w:p>
    <w:p>
      <w:pPr>
        <w:spacing w:after="0" w:line="18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Neither the Company nor any Subsidiary is required to obtain any consent from, authorization or order of, or make any filing or registration with (other than the Required Approvals),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Except as set forth on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the Company is not in violation of the requirements of the Principal Market and has no knowledge of any facts or circumstances which could reasonably lead to delisting or suspension of the Common Stock in the foreseeable future.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76" w:lineRule="auto"/>
        <w:tabs>
          <w:tab w:leader="none" w:pos="88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Buyer’s Purchase of Securities</w:t>
      </w:r>
      <w:r>
        <w:rPr>
          <w:rFonts w:ascii="Times New Roman" w:cs="Times New Roman" w:eastAsia="Times New Roman" w:hAnsi="Times New Roman"/>
          <w:sz w:val="17"/>
          <w:szCs w:val="17"/>
          <w:color w:val="auto"/>
        </w:rPr>
        <w:t>. The Company acknowledges and agrees that each Buyer is acting solely in the capacity of an arm’s length purchaser with respect to the Transaction Documents and the transactions contemplated hereby and thereby and that no Buyer is</w:t>
      </w:r>
    </w:p>
    <w:p>
      <w:pPr>
        <w:jc w:val="both"/>
        <w:ind w:firstLine="8"/>
        <w:spacing w:after="0" w:line="251" w:lineRule="auto"/>
        <w:tabs>
          <w:tab w:leader="none" w:pos="2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or director of the Company or any of its Subsidiaries, (ii) an “affiliate” (as defined in Rule 144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of the Company or any of its Subsidiaries or (iii) to its knowledge, a “beneficial owner” of more than 10% of the shares of Common Stock (as defined for purposes of Rule 13d-3 of the 1934 Act).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to which it is a party has been based solely on the independent evaluation by the Company and its representatives.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56"/>
        <w:spacing w:after="0" w:line="256"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Agent’s Fees</w:t>
      </w:r>
      <w:r>
        <w:rPr>
          <w:rFonts w:ascii="Times New Roman" w:cs="Times New Roman" w:eastAsia="Times New Roman" w:hAnsi="Times New Roman"/>
          <w:sz w:val="18"/>
          <w:szCs w:val="18"/>
          <w:color w:val="auto"/>
        </w:rPr>
        <w:t xml:space="preserve">. The Company shall be responsible for the payment of any placement agent’s fees, financial advisory fees, or brokers’ commissions (other than for Persons engaged by any Buyer or its investment advisor) relating to or arising out of the transactions contemplated hereby. The fees and expenses of any placement agent to be paid by the Company or any of its Subsidiaries are as set forth on </w:t>
      </w:r>
      <w:r>
        <w:rPr>
          <w:rFonts w:ascii="Times New Roman" w:cs="Times New Roman" w:eastAsia="Times New Roman" w:hAnsi="Times New Roman"/>
          <w:sz w:val="18"/>
          <w:szCs w:val="18"/>
          <w:u w:val="single" w:color="auto"/>
          <w:color w:val="auto"/>
        </w:rPr>
        <w:t>Schedule 3(g)</w:t>
      </w:r>
      <w:r>
        <w:rPr>
          <w:rFonts w:ascii="Times New Roman" w:cs="Times New Roman" w:eastAsia="Times New Roman" w:hAnsi="Times New Roman"/>
          <w:sz w:val="18"/>
          <w:szCs w:val="18"/>
          <w:color w:val="auto"/>
        </w:rPr>
        <w:t xml:space="preserve"> attached hereto. The Company shall pay, and hold each Buyer harmless against, any liability, loss or expense (including, without limitation, attorney’s fees and out-of-pocket expenses) arising in connection with any such claim. Neither the Company nor any of its Subsidiaries has engaged any placement agent or other agent in connection with the offer or sale of the Securities.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that its obligation to issue the Conversion Shares pursuant to the terms of the Notes in accordance with this Agreement and the Notes is, in each case, absolute and unconditional regardless of the dilutive effect that such issuance may have on the ownership interests of other stockholders of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xml:space="preserve">. Except as noted on </w:t>
      </w:r>
      <w:r>
        <w:rPr>
          <w:rFonts w:ascii="Times New Roman" w:cs="Times New Roman" w:eastAsia="Times New Roman" w:hAnsi="Times New Roman"/>
          <w:sz w:val="18"/>
          <w:szCs w:val="18"/>
          <w:u w:val="single" w:color="auto"/>
          <w:color w:val="auto"/>
        </w:rPr>
        <w:t>Schedule 3(j)</w:t>
      </w:r>
      <w:r>
        <w:rPr>
          <w:rFonts w:ascii="Times New Roman" w:cs="Times New Roman" w:eastAsia="Times New Roman" w:hAnsi="Times New Roman"/>
          <w:sz w:val="18"/>
          <w:szCs w:val="18"/>
          <w:color w:val="auto"/>
        </w:rPr>
        <w:t xml:space="preserve">,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Except as noted on </w:t>
      </w:r>
      <w:r>
        <w:rPr>
          <w:rFonts w:ascii="Times New Roman" w:cs="Times New Roman" w:eastAsia="Times New Roman" w:hAnsi="Times New Roman"/>
          <w:sz w:val="18"/>
          <w:szCs w:val="18"/>
          <w:u w:val="single" w:color="auto"/>
          <w:color w:val="auto"/>
        </w:rPr>
        <w:t>Schedule 3(j)</w:t>
      </w:r>
      <w:r>
        <w:rPr>
          <w:rFonts w:ascii="Times New Roman" w:cs="Times New Roman" w:eastAsia="Times New Roman" w:hAnsi="Times New Roman"/>
          <w:sz w:val="18"/>
          <w:szCs w:val="18"/>
          <w:color w:val="auto"/>
        </w:rPr>
        <w:t>, the Company has no stockholder rights plan or similar arrangement relating to accumulations of beneficial ownership of shares of Common Stock or a change in control of the Company or any of its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56"/>
        <w:spacing w:after="0" w:line="251"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During the two (2) years prior to the date hereof, the Company has timely filed all reports, schedules, forms, proxy statements, statements and other documents required to be filed by it with the SEC (other than Section 16 ownership filings)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auditors of the Company with respect thereto) included in the SEC Documents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in each case, in order for any of the Financial Statements to be in compliance with GAAP and the rules and regulations of the SEC. The Company has not been informed by its independent auditors that they recommend that the Company amend or restate any of the Financial Statements or that there is any need for the Company to amend or restate any of the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56"/>
        <w:spacing w:after="0" w:line="252" w:lineRule="auto"/>
        <w:tabs>
          <w:tab w:leader="none" w:pos="8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3(l),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any Buyer’s investment hereunder or (iii) could have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56"/>
        <w:spacing w:after="0" w:line="252"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xml:space="preserve">.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and except as set forth on </w:t>
      </w:r>
      <w:r>
        <w:rPr>
          <w:rFonts w:ascii="Times New Roman" w:cs="Times New Roman" w:eastAsia="Times New Roman" w:hAnsi="Times New Roman"/>
          <w:sz w:val="18"/>
          <w:szCs w:val="18"/>
          <w:u w:val="single" w:color="auto"/>
          <w:color w:val="auto"/>
        </w:rPr>
        <w:t>Schedule 3(n)</w:t>
      </w:r>
      <w:r>
        <w:rPr>
          <w:rFonts w:ascii="Times New Roman" w:cs="Times New Roman" w:eastAsia="Times New Roman" w:hAnsi="Times New Roman"/>
          <w:sz w:val="18"/>
          <w:szCs w:val="18"/>
          <w:color w:val="auto"/>
        </w:rPr>
        <w:t>,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During the two years prior to the date hereof,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the Company’s subsidiary or any director, officer, agent, employee, nor any other person acting for or on behalf of the foregoing (individually and collectively,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have violated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8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left="660" w:right="20" w:firstLine="1292"/>
        <w:spacing w:after="0" w:line="282" w:lineRule="auto"/>
        <w:tabs>
          <w:tab w:leader="none" w:pos="225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or its Subsidiaries in obtaining or retaining business for or with, or directing business to, the Company or its Subsidiaries.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disclosed in the SEC Documents, no current or former employee, partner, director, officer or stockholder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in the Notes)), nor does any such Person receive income from any source other than the Company or its Subsidiaries which relates to the business of the Company or its Subsidiaries or should properly accrue to the Company or its Subsidiaries.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w:t>
      </w:r>
    </w:p>
    <w:p>
      <w:pPr>
        <w:spacing w:after="0" w:line="19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right="20" w:firstLine="652"/>
        <w:spacing w:after="0" w:line="286" w:lineRule="auto"/>
        <w:tabs>
          <w:tab w:leader="none" w:pos="22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(x) the Company’s shares of common stock, $0.001 par value per share, and (y) any capital stock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jc w:val="both"/>
        <w:ind w:left="1300" w:firstLine="652"/>
        <w:spacing w:after="0" w:line="259" w:lineRule="auto"/>
        <w:tabs>
          <w:tab w:leader="none" w:pos="2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means (x) the Company’s blank check preferred stock, $0.001 par value per share, the terms of which have been designated by the board of directors of the Company in a certificate of designations filed with the Secretary of State of Delaware on June 30, 2023,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left="640" w:firstLine="652"/>
        <w:spacing w:after="0" w:line="262" w:lineRule="auto"/>
        <w:tabs>
          <w:tab w:leader="none" w:pos="15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(x) the Company’s blank check preferred stock, $0.001 par value per share, the terms of which may be designated by the board of directors of the Company in a certificate of designations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spacing w:after="0" w:line="180" w:lineRule="exact"/>
        <w:rPr>
          <w:rFonts w:ascii="Times New Roman" w:cs="Times New Roman" w:eastAsia="Times New Roman" w:hAnsi="Times New Roman"/>
          <w:sz w:val="18"/>
          <w:szCs w:val="18"/>
          <w:color w:val="auto"/>
        </w:rPr>
      </w:pPr>
    </w:p>
    <w:p>
      <w:pPr>
        <w:ind w:left="940" w:hanging="296"/>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As of the date hereof, the authorized capital stock of the Company consists of (A)</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shares of Common Stock, of which, 218,789,721 are issued, 216,107,328 are outstanding and 2,920,609] shares are reserved for issuance pursuant to Common Stock Equivalents (as defined below) (other than the Notes and the convertible notes issued in 2025 to be repaid with the proceeds from the Notes) exercisable or exchangeable for, or convertible into, shares of Common Stock, (B) 100,000 shares of Series A Preferred Stock, none of which are issued and outstanding, and (C) 4,900,000 shares of Preferred Stock, excluding those designated as Series A Preferred Stock, none of which are issued and outstanding. 2,682,393 shares of Common Stock are held in the treasury of the Company.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193" w:lineRule="exact"/>
        <w:rPr>
          <w:rFonts w:ascii="Times New Roman" w:cs="Times New Roman" w:eastAsia="Times New Roman" w:hAnsi="Times New Roman"/>
          <w:sz w:val="18"/>
          <w:szCs w:val="18"/>
          <w:color w:val="auto"/>
        </w:rPr>
      </w:pPr>
    </w:p>
    <w:p>
      <w:pPr>
        <w:jc w:val="both"/>
        <w:ind w:firstLine="644"/>
        <w:spacing w:after="0" w:line="253" w:lineRule="auto"/>
        <w:tabs>
          <w:tab w:leader="none" w:pos="9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 Affiliates</w:t>
      </w:r>
      <w:r>
        <w:rPr>
          <w:rFonts w:ascii="Times New Roman" w:cs="Times New Roman" w:eastAsia="Times New Roman" w:hAnsi="Times New Roman"/>
          <w:sz w:val="18"/>
          <w:szCs w:val="18"/>
          <w:color w:val="auto"/>
        </w:rPr>
        <w:t xml:space="preserve">. All of such outstanding shares are duly authorized and have been, or upon issuance will be, validly issued and are fully paid and nonassessable. </w:t>
      </w:r>
      <w:r>
        <w:rPr>
          <w:rFonts w:ascii="Times New Roman" w:cs="Times New Roman" w:eastAsia="Times New Roman" w:hAnsi="Times New Roman"/>
          <w:sz w:val="18"/>
          <w:szCs w:val="18"/>
          <w:u w:val="single" w:color="auto"/>
          <w:color w:val="auto"/>
        </w:rPr>
        <w:t>Schedule 3(r)(iii)</w:t>
      </w:r>
      <w:r>
        <w:rPr>
          <w:rFonts w:ascii="Times New Roman" w:cs="Times New Roman" w:eastAsia="Times New Roman" w:hAnsi="Times New Roman"/>
          <w:sz w:val="18"/>
          <w:szCs w:val="18"/>
          <w:color w:val="auto"/>
        </w:rPr>
        <w:t xml:space="preserve"> sets forth the number of shares of Common Stock that are (A) reserved for issuance pursuant to Common Stock Equivalents (other than the Notes) and (B) that are, as of the date hereof,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no Person owns 10% or more of the Company’s issued and outstanding shares of Common Stock (calculated based on the assumption that all Common Stock Equivalents,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6" w:name="page17"/>
    <w:bookmarkEnd w:id="16"/>
    <w:p>
      <w:pPr>
        <w:jc w:val="both"/>
        <w:ind w:left="660" w:firstLine="644"/>
        <w:spacing w:after="0" w:line="252" w:lineRule="auto"/>
        <w:tabs>
          <w:tab w:leader="none" w:pos="16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true, correct and complete copies of the Company’s Certificate of Incorporation, as amended and as in effect on the date hereof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the terms of all Common Stock Equivalents and the material rights of the holders thereof in respect thereto.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51" w:lineRule="auto"/>
        <w:tabs>
          <w:tab w:leader="none" w:pos="9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xml:space="preserve">. Neither the Company nor any of its Subsidiaries, (i) except as disclosed in </w:t>
      </w:r>
      <w:r>
        <w:rPr>
          <w:rFonts w:ascii="Times New Roman" w:cs="Times New Roman" w:eastAsia="Times New Roman" w:hAnsi="Times New Roman"/>
          <w:sz w:val="18"/>
          <w:szCs w:val="18"/>
          <w:u w:val="single" w:color="auto"/>
          <w:color w:val="auto"/>
        </w:rPr>
        <w:t>Schedule 3(s)</w:t>
      </w:r>
      <w:r>
        <w:rPr>
          <w:rFonts w:ascii="Times New Roman" w:cs="Times New Roman" w:eastAsia="Times New Roman" w:hAnsi="Times New Roman"/>
          <w:sz w:val="18"/>
          <w:szCs w:val="18"/>
          <w:color w:val="auto"/>
        </w:rPr>
        <w:t>,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56"/>
        <w:spacing w:after="0" w:line="253"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Documents,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which is outside of the ordinary course of business or individually or in the aggregate material to the Company or any of its Subsidiaries.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including, without limitation, the Registration Statement. To the knowledge of the Company’s Chief Executive Officer, Chief Financial Officer and General Counsel, after reasonable inquiry,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The Company and its Subsidiaries believe that their relations with their employees are good. No current (or former)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Each of the Company and its Subsidiaries holds good title to, or a valid leasehold interest in, as applicable, all real property, leases in real property, facilities or other interests in real property owned or held by the Company or any of its Subsidiaries (the “</w:t>
      </w:r>
      <w:r>
        <w:rPr>
          <w:rFonts w:ascii="Times New Roman" w:cs="Times New Roman" w:eastAsia="Times New Roman" w:hAnsi="Times New Roman"/>
          <w:sz w:val="18"/>
          <w:szCs w:val="18"/>
          <w:b w:val="1"/>
          <w:bCs w:val="1"/>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owned by the Company or any of its Subsidiaries (as applicable). The Real Property is free and clear of all Liens and is not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left="660" w:firstLine="644"/>
        <w:spacing w:after="0" w:line="254" w:lineRule="auto"/>
        <w:tabs>
          <w:tab w:leader="none" w:pos="157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cs="Times New Roman" w:eastAsia="Times New Roman" w:hAnsi="Times New Roman"/>
          <w:sz w:val="18"/>
          <w:szCs w:val="18"/>
          <w:b w:val="1"/>
          <w:bCs w:val="1"/>
          <w:color w:val="auto"/>
        </w:rPr>
        <w:t>Fixtures and Equipment</w:t>
      </w:r>
      <w:r>
        <w:rPr>
          <w:rFonts w:ascii="Times New Roman" w:cs="Times New Roman" w:eastAsia="Times New Roman" w:hAnsi="Times New Roman"/>
          <w:sz w:val="18"/>
          <w:szCs w:val="18"/>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necessary to conduct their respective businesses as now conducted and presently proposed to be conducted. Each of the patents owned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or any of its Subsidiaries is listed on </w:t>
      </w:r>
      <w:r>
        <w:rPr>
          <w:rFonts w:ascii="Times New Roman" w:cs="Times New Roman" w:eastAsia="Times New Roman" w:hAnsi="Times New Roman"/>
          <w:sz w:val="18"/>
          <w:szCs w:val="18"/>
          <w:u w:val="single" w:color="auto"/>
          <w:color w:val="auto"/>
        </w:rPr>
        <w:t>Schedule 3(x)</w:t>
      </w:r>
      <w:r>
        <w:rPr>
          <w:rFonts w:ascii="Times New Roman" w:cs="Times New Roman" w:eastAsia="Times New Roman" w:hAnsi="Times New Roman"/>
          <w:sz w:val="18"/>
          <w:szCs w:val="18"/>
          <w:color w:val="auto"/>
        </w:rPr>
        <w:t>. None of the Company’s Intellectual Property Rights have expired or terminated or have been abandoned or are expected to expire or terminate or are expected to be abandoned, within three years from the date of this Agreement.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 The Company and its Subsidiaries (A) are in compliance with any and all Environmental Laws (as defined below),</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all permits, licenses or other approvals required of them under applicable Environmental Laws to conduct their respective businesses and</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compliance with all terms and conditions of any such permit, license or approval, except where, in each of the foregoing clauses (A), (B) and (C), the failure to so comply or have such permits, licenses or other approval, as applicable, could not reasonably be expected to have, individually or in the aggregate, a Material Adverse Effect. The term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Hazardous Materials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9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disposed of or otherwise released from any Real Property of the Company or any of its Subsidiaries in violation of any Environmental Laws; or</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88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171" w:lineRule="exact"/>
        <w:rPr>
          <w:rFonts w:ascii="Times New Roman" w:cs="Times New Roman" w:eastAsia="Times New Roman" w:hAnsi="Times New Roman"/>
          <w:sz w:val="18"/>
          <w:szCs w:val="18"/>
          <w:color w:val="auto"/>
        </w:rPr>
      </w:pPr>
    </w:p>
    <w:p>
      <w:pPr>
        <w:ind w:left="660" w:firstLine="644"/>
        <w:spacing w:after="0" w:line="286" w:lineRule="auto"/>
        <w:tabs>
          <w:tab w:leader="none" w:pos="16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Real Properties are on any federal or state “Superfund” list or Liability Information System (“</w:t>
      </w:r>
      <w:r>
        <w:rPr>
          <w:rFonts w:ascii="Times New Roman" w:cs="Times New Roman" w:eastAsia="Times New Roman" w:hAnsi="Times New Roman"/>
          <w:sz w:val="18"/>
          <w:szCs w:val="18"/>
          <w:b w:val="1"/>
          <w:bCs w:val="1"/>
          <w:color w:val="auto"/>
        </w:rPr>
        <w:t>CERCLIS</w:t>
      </w:r>
      <w:r>
        <w:rPr>
          <w:rFonts w:ascii="Times New Roman" w:cs="Times New Roman" w:eastAsia="Times New Roman" w:hAnsi="Times New Roman"/>
          <w:sz w:val="18"/>
          <w:szCs w:val="18"/>
          <w:color w:val="auto"/>
        </w:rPr>
        <w:t>”) list or any state environmental agency list of sites under consideration for CERCLIS, nor subject to any environmental related Liens.</w:t>
      </w:r>
    </w:p>
    <w:p>
      <w:pPr>
        <w:spacing w:after="0" w:line="159" w:lineRule="exact"/>
        <w:rPr>
          <w:sz w:val="20"/>
          <w:szCs w:val="20"/>
          <w:color w:val="auto"/>
        </w:rPr>
      </w:pPr>
    </w:p>
    <w:p>
      <w:pPr>
        <w:ind w:firstLine="656"/>
        <w:spacing w:after="0" w:line="282" w:lineRule="auto"/>
        <w:tabs>
          <w:tab w:leader="none" w:pos="8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2" w:lineRule="exact"/>
        <w:rPr>
          <w:sz w:val="20"/>
          <w:szCs w:val="20"/>
          <w:color w:val="auto"/>
        </w:rPr>
      </w:pPr>
    </w:p>
    <w:p>
      <w:pPr>
        <w:jc w:val="both"/>
        <w:ind w:firstLine="656"/>
        <w:spacing w:after="0" w:line="257" w:lineRule="auto"/>
        <w:tabs>
          <w:tab w:leader="none" w:pos="9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net operating loss carryforwards (“</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56"/>
        <w:spacing w:after="0" w:line="252" w:lineRule="auto"/>
        <w:tabs>
          <w:tab w:leader="none" w:pos="9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Except as set forth in the SEC Documents,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Except as set forth in the SEC Documents,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56"/>
        <w:spacing w:after="0" w:line="252" w:lineRule="auto"/>
        <w:tabs>
          <w:tab w:leader="none" w:pos="9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Buyers’ Trading Activity</w:t>
      </w:r>
      <w:r>
        <w:rPr>
          <w:rFonts w:ascii="Times New Roman" w:cs="Times New Roman" w:eastAsia="Times New Roman" w:hAnsi="Times New Roman"/>
          <w:sz w:val="18"/>
          <w:szCs w:val="18"/>
          <w:color w:val="auto"/>
        </w:rPr>
        <w:t>. Subject to Section 4(w),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upon conversion or exchange, as applicable, of the Securities as and when required pursuant to the Transaction Documents for purposes of effecting trading in the Common Stock of the Company. Subject to Section 4(x), the Company further understands and acknowledges that following the public disclosure of the transactions contemplated by the Transaction Documents pursuant to the 8-K Filings one or more Buyers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Conversion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Notes or any other Transaction Document or any of the documents executed in connection herewith or therewith.</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issuance of the Securities to the Buyers using Form S-3 promulgated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1933 Act.</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1000" w:hanging="344"/>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or subject to, Rule 144(i).</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During the past three-year period, no current or former officer or director or, to the knowledge of the Company, no current ten percent (10%) or greater stockholder of the Company or any of its Subsidiaries has been the subject of:</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in a criminal proceeding or a named subject of a pending criminal proceeding (excluding traffic violations that do not relate to driving while intoxicated or driving under the influence);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2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left="1300" w:firstLine="1300"/>
        <w:spacing w:after="0" w:line="258" w:lineRule="auto"/>
        <w:tabs>
          <w:tab w:leader="none" w:pos="285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83"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particular type of business practice; or</w:t>
      </w:r>
    </w:p>
    <w:p>
      <w:pPr>
        <w:spacing w:after="0" w:line="225" w:lineRule="exact"/>
        <w:rPr>
          <w:rFonts w:ascii="Times New Roman" w:cs="Times New Roman" w:eastAsia="Times New Roman" w:hAnsi="Times New Roman"/>
          <w:sz w:val="18"/>
          <w:szCs w:val="18"/>
          <w:color w:val="auto"/>
        </w:rPr>
      </w:pPr>
    </w:p>
    <w:p>
      <w:pPr>
        <w:ind w:left="1300" w:firstLine="1300"/>
        <w:spacing w:after="0" w:line="282" w:lineRule="auto"/>
        <w:tabs>
          <w:tab w:leader="none" w:pos="285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activity in connection with the purchase or sale of any security or commodity or in connection with any violation of securities laws or commodities laws;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2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firstLine="656"/>
        <w:spacing w:after="0" w:line="282" w:lineRule="auto"/>
        <w:tabs>
          <w:tab w:leader="none" w:pos="10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Utility Holding Company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Company Act of 2005.</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w:t>
      </w:r>
    </w:p>
    <w:p>
      <w:pPr>
        <w:spacing w:after="0" w:line="204" w:lineRule="exact"/>
        <w:rPr>
          <w:rFonts w:ascii="Times New Roman" w:cs="Times New Roman" w:eastAsia="Times New Roman" w:hAnsi="Times New Roman"/>
          <w:sz w:val="18"/>
          <w:szCs w:val="18"/>
          <w:color w:val="auto"/>
        </w:rPr>
      </w:pPr>
    </w:p>
    <w:p>
      <w:pPr>
        <w:jc w:val="both"/>
        <w:ind w:firstLine="656"/>
        <w:spacing w:after="0" w:line="267" w:lineRule="auto"/>
        <w:tabs>
          <w:tab w:leader="none" w:pos="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of Notes</w:t>
      </w:r>
      <w:r>
        <w:rPr>
          <w:rFonts w:ascii="Times New Roman" w:cs="Times New Roman" w:eastAsia="Times New Roman" w:hAnsi="Times New Roman"/>
          <w:sz w:val="18"/>
          <w:szCs w:val="18"/>
          <w:color w:val="auto"/>
        </w:rPr>
        <w:t xml:space="preserve">. No Indebtedness of the Company, at the Closing, will be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in right of payment, whether with respect to payment or redemptions, interest, damages, upon liquidation or dissolution or otherwise (other than Permitted Indebtedness (as defined in the Notes) secured by Permitted Liens (as defined in the Notes)).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0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656"/>
        <w:spacing w:after="0" w:line="252" w:lineRule="auto"/>
        <w:tabs>
          <w:tab w:leader="none" w:pos="10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General Data Protection Regulation of the European Union (GDPR) (Regulation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10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holder of securities of the Company has rights to the registration of any securities of the Company because of the filing of the Registration Statement or the issuance of the Securities hereunder that could expose the Company to material liability or any Buyer to any liability or that could impair the Company’s ability to consummate the issuance and sale of the Securities in the manner, and at the times, contemplated hereby, which rights have not been waived by the holder thereof as of the date 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1" w:lineRule="auto"/>
        <w:tabs>
          <w:tab w:leader="none" w:pos="9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you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180" w:hanging="172"/>
        <w:spacing w:after="0"/>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Best Efforts</w:t>
      </w:r>
      <w:r>
        <w:rPr>
          <w:rFonts w:ascii="Times New Roman" w:cs="Times New Roman" w:eastAsia="Times New Roman" w:hAnsi="Times New Roman"/>
          <w:sz w:val="18"/>
          <w:szCs w:val="18"/>
          <w:color w:val="auto"/>
        </w:rPr>
        <w:t>.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Registration Statement; Prospectus Supplements; Free Writing Prospectuses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2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Agreement and other than periodic reports required to be filed pursuant to the 1934 Act, the Company shall not file with the SEC any amendment to the Registration Statement that relates to the Buyer, this Agreement or any other Transaction Document or the transactions contemplated hereby or thereby or file with the SEC any Prospectus Supplement that relates to the Buyer, this Agreement or any other Transaction Document or the transactions contemplated hereby or thereby with respect to which (a) the Buyer shall not previously have been advised, (b) the Company shall not have given due consideration to any comments thereon received from the Buyer or its counsel, or (c) the Buyer shall reasonably object after being so advised, unless the Company reasonably has determined that it is necessary to amend the Registration Statement or make any supplement to the Prospectus to comply with the 1933 Act or any other applicable law or regulation, in which case the Company shall promptly (but in no event later than 24 hours) so inform the Buyer, the Buyer shall be provided with a reasonable opportunity to review and comment upon any disclosure relating to the Buyer and the Company shall expeditiously furnish to the Buyer an electronic copy thereof. In addition, for so long as, in the reasonable opinion of counsel for the Buyer, the Prospectus (or in lieu thereof, the notice referred to in Rule 173(a) under the 1933 Act) is required to be delivered in connection with any acquisition or sale of Securities by the Buyer, the Company shall not file any Prospectus Supplement with respect to the Securities without delivering or making available a copy of such Prospectus Supplement, together with the Prospectus, to the Buyer promptly. For the avoidance of doubt, the Buyer acknowledges that the Registration Statement will expire in December 2026.</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3"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and agrees that unless it obtains the prior written consent of the Buyer it will not make, an offer relating to the Securities that would constitute an “issuer free writing prospectus” as defined in Rule 433 promulgated under the 1933 Act (an “</w:t>
      </w:r>
      <w:r>
        <w:rPr>
          <w:rFonts w:ascii="Times New Roman" w:cs="Times New Roman" w:eastAsia="Times New Roman" w:hAnsi="Times New Roman"/>
          <w:sz w:val="18"/>
          <w:szCs w:val="18"/>
          <w:b w:val="1"/>
          <w:bCs w:val="1"/>
          <w:color w:val="auto"/>
        </w:rPr>
        <w:t>Issuer 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Writing Prospectus</w:t>
      </w:r>
      <w:r>
        <w:rPr>
          <w:rFonts w:ascii="Times New Roman" w:cs="Times New Roman" w:eastAsia="Times New Roman" w:hAnsi="Times New Roman"/>
          <w:sz w:val="18"/>
          <w:szCs w:val="18"/>
          <w:color w:val="auto"/>
        </w:rPr>
        <w:t>”) or that would otherwise constitute a “free writing prospectus” as defined in Rule 405 promulgated under the 1933 Act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required to be filed by the Company or the Buyer with the SEC or retained by the Company or the Buyer under Rule 433 under the 1933 Act. The Buyer has not made, and agrees that unless it obtains the prior written consent of the Company it will not make, an offer relating to the Securities that would constitute a Free Writing Prospectus required to be filed by the Company with the SEC or retained by the Company under Rule 433 under the 1933 Act. Any such Issuer Free Writing Prospectus or other Free Writing Prospectus consented to by the Buyer or the Company is referred to in this Agreement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agrees that (x) it has treated and will treat, as the case may be, each Permitted Free Writing Prospectus as an Issuer Free Writing Prospectus and (y) it has complied and will comply, as the case may be, with the requirements of Rules 164 and 433 under the 1933 Act applicable to any Permitted Free Writing Prospectus, including in respect of timely filing with the SEC, legending and record keeping.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56"/>
        <w:spacing w:after="0" w:line="252" w:lineRule="auto"/>
        <w:tabs>
          <w:tab w:leader="none" w:pos="9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Delivery</w:t>
      </w:r>
      <w:r>
        <w:rPr>
          <w:rFonts w:ascii="Times New Roman" w:cs="Times New Roman" w:eastAsia="Times New Roman" w:hAnsi="Times New Roman"/>
          <w:sz w:val="18"/>
          <w:szCs w:val="18"/>
          <w:color w:val="auto"/>
        </w:rPr>
        <w:t>. Immediately prior to execution of this Agreement, the Company shall have delivered to the Buyer, and as soon as practicable after execution of this Agreement the Company shall file, Prospectus Supplements with respect to the Securities to be issued on the Closing Date, as required under, and in conformity with, the 1933 Act, including Rule 424(b) thereunder. The Company shall provide the Buyer a reasonable opportunity to comment on a draft of each Prospectus Supplement and any Issuer Free Writing Prospectus, shall give due consideration to all such comments and, subject to the provisions of Section 4(b) hereof, shall deliver or make available to the Buyer, without charge, an electronic copy of each form of Prospectus Supplement, together with the Prospectus, and any Permitted Free Writing Prospectus on the Closing Date. The Company consents to the use of the Prospectus (and of any Prospectus Supplements thereto) in accordance with the provisions of the 1933 Act and with the securities or “blue sky” laws of the jurisdictions in which the Securities may be sold by the Buyer, in connection with the offering and sale of the Securities and for such period of time thereafter as the Prospectus (or in lieu thereof, the notice referred to in Rule 173(a) under the 1933 Act) is required by the 1933 Act to be delivered in connection with sales of the Securities. If during such period of time any event shall occur that in the judgment of the Company and its counsel is required to be set forth in the Registration Statement or the Prospectus or any Permitted Free Writing Prospectus or should be set forth therein in order to make the statements made therein (in the case of the Prospectus, in light of the circumstances under which they were made) not misleading, or if it is necessary to amend the Registration Statement or supplement or amend the Prospectus or any Permitted Free Writing Prospectus to comply with the 1933 Act or any other applicable law or regulation, the Company shall forthwith prepare and, subject to Section 4(b) above, file with the SEC an appropriate amendment to the Registration Statement or Prospectus Supplement to the Prospectus (or supplement to the Permitted Free Writing Prospectus) and shall expeditiously furnish or make available to the Buyer an electronic copy thereof.</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Orders</w:t>
      </w:r>
      <w:r>
        <w:rPr>
          <w:rFonts w:ascii="Times New Roman" w:cs="Times New Roman" w:eastAsia="Times New Roman" w:hAnsi="Times New Roman"/>
          <w:sz w:val="18"/>
          <w:szCs w:val="18"/>
          <w:color w:val="auto"/>
        </w:rPr>
        <w:t>. The Company shall advise the Buyer promptly (but in no event later than 24 hours) and shall confirm such advice in writing: (i) of the Company’s receipt of notice of any request by the SEC for amendment of or a supplement to the Registration Statement, the Prospectus, any Permitted Free Writing Prospectus or for any additional information; (ii) of the Company’s receipt of notice of the issuance by the SEC of any stop order suspending the effectiveness of the Registration Statement or prohibiting or suspending the use of the Prospectus or any Prospectus Supplement, or of the suspension of qualification of the Securities for offering or sale in any jurisdiction, or the initiation or contemplated initiation of any proceeding for such purpose; (iii) of the Company becoming aware of the happening of any event, which makes any statement of a material fact made in the Registration Statement, the Prospectus or any Permitted Free Writing Prospectus untrue or which requires the making of any additions to or changes to the statements then made in the Registration Statement, the Prospectus or any Permitted Free Writing Prospectus in order to state a material fact required by the 1933 Act to be stated therein or necessary in order to make the statements then made therein (in the case of the Prospectus, in light of the circumstances under which they were made) not misleading, or of the necessity to amend the Registration Statement or supplement the Prospectus or any Permitted Free Writing Prospectus to comply with the 1933 Act or any other law or (iv) if at any time following the date hereof the Registration Statement is not effective or is not otherwise available for the issuance of the Securities or any Prospectus contained therein is not available for use for any other reason. Thereafter, the Company shall promptly notify such holders when the Registration Statement, the Prospectus, any Permitted Free Writing Prospectus and/or any amendment or supplement thereto, as applicable, is effective and available for the issuance of the Securities. If at any time the SEC shall issue any stop order suspending the effectiveness of the Registration Statement or prohibiting or suspending the use of the Prospectus or any Prospectus Supplement, the Company shall use best efforts to obtain the withdrawal of such order at the earliest possible time.</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56"/>
        <w:spacing w:after="0" w:line="268" w:lineRule="auto"/>
        <w:tabs>
          <w:tab w:leader="none" w:pos="8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Until the date on which the Buyers shall have sold all of the Securities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174"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proceeds from the sale of the Securities to repay in full the outstanding senior convertible notes issued by the Company on May 15, 2025 and October 7, 2025 and as otherwise described in the Prospectus Supplement, but not, directly or indirectly, except as otherwise disclosed in the Prospectus Supplement, for (i) the satisfaction of any indebtedness of the Company or any of its Subsidiaries, (ii) the redemption or repurchase of any securities of the Company or any of its Subsidiaries, or (iii) the settlement of any outstanding litigation.</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Company agrees to send the following to each holder of Notes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during the Reporting Period</w:t>
      </w:r>
    </w:p>
    <w:p>
      <w:pPr>
        <w:spacing w:after="0" w:line="31" w:lineRule="exact"/>
        <w:rPr>
          <w:rFonts w:ascii="Times New Roman" w:cs="Times New Roman" w:eastAsia="Times New Roman" w:hAnsi="Times New Roman"/>
          <w:sz w:val="18"/>
          <w:szCs w:val="18"/>
          <w:color w:val="auto"/>
        </w:rPr>
      </w:pPr>
    </w:p>
    <w:p>
      <w:pPr>
        <w:jc w:val="both"/>
        <w:ind w:firstLine="8"/>
        <w:spacing w:after="0" w:line="251" w:lineRule="auto"/>
        <w:tabs>
          <w:tab w:leader="none" w:pos="2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86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promptly secure the listing or designation for quotation (as the case may be) of all of the Underlying Securities (as defined below)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Underlying Securities from time to time issuable under the terms of the Transaction Documents on such national securities exchange or automated quotation system. The Company shall maintain the Common Stock’s listing or authorization for quotation (as the case may be) on The New York Stock Exchange, the NYSE American, the Nasdaq Capital Market, the Nasdaq Global Market or the Nasdaq Global Select Market (each, an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4(i). “</w:t>
      </w:r>
      <w:r>
        <w:rPr>
          <w:rFonts w:ascii="Times New Roman" w:cs="Times New Roman" w:eastAsia="Times New Roman" w:hAnsi="Times New Roman"/>
          <w:sz w:val="18"/>
          <w:szCs w:val="18"/>
          <w:b w:val="1"/>
          <w:bCs w:val="1"/>
          <w:color w:val="auto"/>
        </w:rPr>
        <w:t>Underlying Securities</w:t>
      </w:r>
      <w:r>
        <w:rPr>
          <w:rFonts w:ascii="Times New Roman" w:cs="Times New Roman" w:eastAsia="Times New Roman" w:hAnsi="Times New Roman"/>
          <w:sz w:val="18"/>
          <w:szCs w:val="18"/>
          <w:color w:val="auto"/>
        </w:rPr>
        <w:t>” means (i) the Conversion Shares, and (ii) any capital stock of the Company issued or issuable with respect to the Conversion Shares and the Notes,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(as defined in the Notes) into which the shares of Common Stock are converted or exchanged, in each case, without regard to any limitations on conversion of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56"/>
        <w:spacing w:after="0" w:line="253" w:lineRule="auto"/>
        <w:tabs>
          <w:tab w:leader="none" w:pos="8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the Lead Investor (as defined below) a non-accountable amount of $75,000 (the “</w:t>
      </w:r>
      <w:r>
        <w:rPr>
          <w:rFonts w:ascii="Times New Roman" w:cs="Times New Roman" w:eastAsia="Times New Roman" w:hAnsi="Times New Roman"/>
          <w:sz w:val="18"/>
          <w:szCs w:val="18"/>
          <w:b w:val="1"/>
          <w:bCs w:val="1"/>
          <w:color w:val="auto"/>
        </w:rPr>
        <w:t>Non-Accountable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for (i) legal fees of outside counsel and disbursements of Kelley Drye &amp; Warren LLP, counsel to the Lead Investor and (ii) all other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documented costs and expenses incurred by it or its affiliates in connection with the structuring, documentation, diligence, negotiation, closing and post-closing, as applicable, of the transactions contemplated by the Transaction Documents (including, without limitation, as applicable, any other reasonable and documented fees and expenses in connection with the structuring, documentation, negotiation and closing of the transactions contemplated by the Transaction Documents and due diligence and regulatory filings in connection therewith) (collectively, the “</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and shall be withheld by the Lead Investor from its Purchase Price at the Closing; provided, that the Company shall promptly reimburse Kelley Drye &amp; Warren LLP on demand for any part of the Non-Accountable Fee Amount not so reimbursed through such withholding at the Closing, less $25,000 previously paid to the Lead Investor. The Company shall be responsible for the payment of any placement agent’s fees, financial advisory fees, transfer agent fees, DTC (as defined below) fees or broker’s commissions (other than for Persons engaged by any Buyer) relating to or arising out of the transactions contemplated hereby.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Company hereby agrees to execute and deliver such documentation as a pledgee of the Securities may reasonably request in connection with a pledge of the Securities to such pledgee by a Buyer.</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563"/>
        <w:spacing w:after="0" w:line="254" w:lineRule="auto"/>
        <w:tabs>
          <w:tab w:leader="none" w:pos="144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On or before 9:00 a.m., New York time, on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and the form of Notes (including all attachments),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From and after the filing of the 8-K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644"/>
        <w:spacing w:after="0" w:line="253" w:lineRule="auto"/>
        <w:tabs>
          <w:tab w:leader="none" w:pos="9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may deliver written notice to the Company to request that the Company promptly publicly release such applicable material, non-public information. If the Company fails to publicly release such material, non-public information on or prior to the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after such written notice by such Buyer,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stockholders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1" w:name="page32"/>
    <w:bookmarkEnd w:id="31"/>
    <w:p>
      <w:pPr>
        <w:jc w:val="both"/>
        <w:ind w:firstLine="656"/>
        <w:spacing w:after="0" w:line="253" w:lineRule="auto"/>
        <w:tabs>
          <w:tab w:leader="none" w:pos="9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Notes remain outstanding, the Company shall take all action necessary to at all times have authorized, and reserved for the purpose of issuance, no less than 110% of the maximum number of shares of Common Stock issuable upon conversion of all the Notes then outstanding (without regard to any limitations on the conversion of the Notes set forth in the Notes) (collectively, the “</w:t>
      </w:r>
      <w:r>
        <w:rPr>
          <w:rFonts w:ascii="Times New Roman" w:cs="Times New Roman" w:eastAsia="Times New Roman" w:hAnsi="Times New Roman"/>
          <w:sz w:val="18"/>
          <w:szCs w:val="18"/>
          <w:b w:val="1"/>
          <w:bCs w:val="1"/>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provided that at no time shall the number of shares of Common Stock reserved pursuant to this Section 4(n) be reduced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proportionally in connection with any conversion, exercise and/or redemption, as applicable of Notes.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Notes; Variable Securities</w:t>
      </w:r>
      <w:r>
        <w:rPr>
          <w:rFonts w:ascii="Times New Roman" w:cs="Times New Roman" w:eastAsia="Times New Roman" w:hAnsi="Times New Roman"/>
          <w:sz w:val="18"/>
          <w:szCs w:val="18"/>
          <w:color w:val="auto"/>
        </w:rPr>
        <w:t>. So long as any Notes remain outstanding, the Company and each Subsidiary shall be prohibited from effecting or entering into an agreement to effect any Subsequent Placement (as defined in the Notes) involving a Variable Rate Transaction (other than a Permitted VRT (as defined below).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or any Subsidiary (i) issues or sells any Common Stock Equivalents either (A) at a conversion, exercise or exchange rate or other price that is based upon and/or varies with the trading prices of or quotations for the shares of Common Stock at any time after the initial issuance of such Common Stock Equivalents, or (B) with a conversion, exercise or exchange price that is subject to being reset at some future date after the initial issuance of such Common Stock Equivalents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 “</w:t>
      </w:r>
      <w:r>
        <w:rPr>
          <w:rFonts w:ascii="Times New Roman" w:cs="Times New Roman" w:eastAsia="Times New Roman" w:hAnsi="Times New Roman"/>
          <w:sz w:val="18"/>
          <w:szCs w:val="18"/>
          <w:b w:val="1"/>
          <w:bCs w:val="1"/>
          <w:color w:val="auto"/>
        </w:rPr>
        <w:t>Permitted VRT</w:t>
      </w:r>
      <w:r>
        <w:rPr>
          <w:rFonts w:ascii="Times New Roman" w:cs="Times New Roman" w:eastAsia="Times New Roman" w:hAnsi="Times New Roman"/>
          <w:sz w:val="18"/>
          <w:szCs w:val="18"/>
          <w:color w:val="auto"/>
        </w:rPr>
        <w:t>” means (i) one or more sales of Common Stock under an “at-the-market” offering existing on the date hereof or entered into the future, including, but not limited to, in connection with the filing of a new shelf registration statement on Form S-3, the “</w:t>
      </w:r>
      <w:r>
        <w:rPr>
          <w:rFonts w:ascii="Times New Roman" w:cs="Times New Roman" w:eastAsia="Times New Roman" w:hAnsi="Times New Roman"/>
          <w:sz w:val="18"/>
          <w:szCs w:val="18"/>
          <w:b w:val="1"/>
          <w:bCs w:val="1"/>
          <w:color w:val="auto"/>
        </w:rPr>
        <w:t>Permitted ATM</w:t>
      </w:r>
      <w:r>
        <w:rPr>
          <w:rFonts w:ascii="Times New Roman" w:cs="Times New Roman" w:eastAsia="Times New Roman" w:hAnsi="Times New Roman"/>
          <w:sz w:val="18"/>
          <w:szCs w:val="18"/>
          <w:color w:val="auto"/>
        </w:rPr>
        <w:t>”), (ii) one or more sales of Common Stock under an equity line of credit entered into in the future of up to $50 million (a “</w:t>
      </w:r>
      <w:r>
        <w:rPr>
          <w:rFonts w:ascii="Times New Roman" w:cs="Times New Roman" w:eastAsia="Times New Roman" w:hAnsi="Times New Roman"/>
          <w:sz w:val="18"/>
          <w:szCs w:val="18"/>
          <w:b w:val="1"/>
          <w:bCs w:val="1"/>
          <w:color w:val="auto"/>
        </w:rPr>
        <w:t>Permitted ELOC</w:t>
      </w:r>
      <w:r>
        <w:rPr>
          <w:rFonts w:ascii="Times New Roman" w:cs="Times New Roman" w:eastAsia="Times New Roman" w:hAnsi="Times New Roman"/>
          <w:sz w:val="18"/>
          <w:szCs w:val="18"/>
          <w:color w:val="auto"/>
        </w:rPr>
        <w:t>”), and (iii) any other Variable Rate Transaction entered into with the Lead Investor.</w:t>
      </w:r>
    </w:p>
    <w:p>
      <w:pPr>
        <w:spacing w:after="0" w:line="19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56"/>
        <w:spacing w:after="0" w:line="266" w:lineRule="auto"/>
        <w:tabs>
          <w:tab w:leader="none" w:pos="91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So long as any Notes are outstanding, the Company shall not, directly or indirectly, redeem, or declare or pay any cash dividend or distribution on, any securities of the Company without the prior express written consent of the Buyers.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any Buyer beneficially owns any Notes, the Company shall not be party to any Fundamental Transaction (as defined in the Notes) unless the Company is in compliance with the applicable provisions governing Fundamental Transactions set forth in the Notes.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Splits</w:t>
      </w:r>
      <w:r>
        <w:rPr>
          <w:rFonts w:ascii="Times New Roman" w:cs="Times New Roman" w:eastAsia="Times New Roman" w:hAnsi="Times New Roman"/>
          <w:sz w:val="18"/>
          <w:szCs w:val="18"/>
          <w:color w:val="auto"/>
        </w:rPr>
        <w:t>. Until the Notes and all notes issued pursuant to the terms thereof are no longer outstanding, the Company shall not effect any stock combination, reverse stock split or other similar transaction (or make any public announcement or disclosure with respect to any of the foregoing) without notifying the Required Holders in writing (which may be an e-mail).</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Procedures</w:t>
      </w:r>
      <w:r>
        <w:rPr>
          <w:rFonts w:ascii="Times New Roman" w:cs="Times New Roman" w:eastAsia="Times New Roman" w:hAnsi="Times New Roman"/>
          <w:sz w:val="18"/>
          <w:szCs w:val="18"/>
          <w:color w:val="auto"/>
        </w:rPr>
        <w:t>. Each of the form of Conversion Notice (as defined in the Notes) included in the Notes set forth the totality of the procedures required of the Buyers in order to convert the Notes. No additional legal opinion, other information or instructions shall be required of the Buyers to convert their Notes. The Company shall honor conversions of the Notes and shall deliver the Conversion Shares in accordance with the terms, conditions and time periods set forth in the Notes. Without limiting the preceding sentences, no ink-original Conversion Notice shall be required, nor shall any medallion guarantee (or other type of guarantee or notarization) of any Conversion Notice form be required in order to convert the Notes.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4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Net Short Position</w:t>
      </w:r>
      <w:r>
        <w:rPr>
          <w:rFonts w:ascii="Times New Roman" w:cs="Times New Roman" w:eastAsia="Times New Roman" w:hAnsi="Times New Roman"/>
          <w:sz w:val="18"/>
          <w:szCs w:val="18"/>
          <w:color w:val="auto"/>
        </w:rPr>
        <w:t>. Each Buyer hereby agrees solely with the Company, severally and not jointly, and not with any other Buyer, for so long as such Buyer owns any Notes, such Buyer shall not maintain a Net Short Position (as defined below). For purposes hereof, a “Net Short Position” by a person means a position whereby such person has executed one or more sales of shares of Common Stock that is marked as a short sale (but not including any sale marked “short exempt”) and that is executed at a time when such Buyer has no equivalent offsetting long position in the shares of Common Stock (or is deemed to have a long position hereunder or otherwise in accordance with Regulation SHO of the 1934 Act); provided, that, for purposes of such calculations, any short sales either (x) consummated at a price greater than or equal to the Conversion Price, (y) that is a result of a bona-fide trading error on behalf of such Buyer (or its affiliates) or (z) that would otherwise be marked as a “long” sale, but for the occurrence of a Conversion Failure (as defined in the Notes), an Equity Conditions Failure and/or any other breach by the Company (or its affiliates or agents, including, without limitation, the Transfer Agent) of any Transaction Document, in each case, shall be excluded from such calculations. For purposes of determining whether a Buyer has an equivalent offsetting “long” position in the shares of Common Stock, (A) all shares of Common Stock that are owned by such Buyer shall be deemed held “long” by such Buyer, (B) all shares of Common Stock that would be issuable upon conversion in full of all Securities issuable to such Buyer or then held by such Buyer, as applicable (assuming that such Securities were then fully convertible or exercisable, notwithstanding any provisions to the contrary, and giving effect to any conversion price adjustments that would take effect given only the passage of time) shall be deemed to be held long by such Buyer,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time the Company is required (or has elected (or is deemed to have elected)) to issue shares of Common Stock to such Buyer pursuant to the terms of the Notes, any shares of Common Stock issued or issuable to such Buyer (or its designee, if applicable) in connection therewith shall be deemed held “long” by such Buyer from and after the date that is two (2) Trading Days prior to the deadline for delivery of such shares of Common Stock to such Buyer, as set forth in the Notes, until such time as such Buyer shall no longer beneficially own such shares of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656"/>
        <w:spacing w:after="0" w:line="266" w:lineRule="auto"/>
        <w:tabs>
          <w:tab w:leader="none" w:pos="9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On or prior to fourteen (14) calendar days after the Closing Date, the Company agrees to deliver, or cause to be delivered, to each Buyer and Kelley Drye &amp; Warren LLP a complete closing set of the executed Transaction Documents, Securities and any other document required to be delivered to any party pursuant to Section 7 hereof or otherwise.</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Securities), a register for the Notes in which the Company shall record the name and address of the Person in whose name the Notes have been issued (including the name and address of each transferee), the principal amount of the Notes held by such Person and the number of Conversion Shares issuable pursuant to the terms of the Notes. The Company shall keep the register open and available at all times during business hours for inspection of any Buyer or its legal representatives.</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each of the Buyers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each Buyer or its respective nominee(s), for the Conversion Shares in such amounts as specified from time to time by each Buyer to the Company upon conversion of the Notes. The Company represents and warrants that no instruction other than the Irrevocable Transfer Agent Instructions referred to in this Section 5(b),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any Securities,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if requested or required, as applicable, by the Transfer Agent, to the Transfer Agent as follows: (i) upon each conversion of the Notes (unless such issuance is covered by a prior legal opinion previously delivered to the Transfer Agent) and (ii) on each date a registration statement with respect to the issuance or resale of any of the Securities is declared effective by the SEC. Any fees (with respect to the transfer agent, counsel to the Company or otherwise) associated with the issuance of such opinion or the removal of any legends on any of the Securities shall be borne by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left="900" w:hanging="244"/>
        <w:spacing w:after="0"/>
        <w:tabs>
          <w:tab w:leader="none" w:pos="9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Certificates and any other instruments evidencing the Securities shall not bear any restrictive or other legend.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FAST Compliance</w:t>
      </w:r>
      <w:r>
        <w:rPr>
          <w:rFonts w:ascii="Times New Roman" w:cs="Times New Roman" w:eastAsia="Times New Roman" w:hAnsi="Times New Roman"/>
          <w:sz w:val="18"/>
          <w:szCs w:val="18"/>
          <w:color w:val="auto"/>
        </w:rPr>
        <w:t>. While any Notes remain outstanding, the Company shall maintain a transfer agent that participates in the DTC Fast Automated Securities Transfer Program.</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the Company hereunder to issue and sell the Notes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6" w:lineRule="exact"/>
        <w:rPr>
          <w:sz w:val="20"/>
          <w:szCs w:val="20"/>
          <w:color w:val="auto"/>
        </w:rPr>
      </w:pPr>
    </w:p>
    <w:p>
      <w:pPr>
        <w:ind w:left="900" w:hanging="244"/>
        <w:spacing w:after="0"/>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other Transaction Documents to which it is a party and delivered the same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Company the Purchase Price (less, in the case of any Buyer, the amounts withheld pursuant to Section 4(j)) for the Note being purchased by such Buyer at the Closing by wire transfer of immediately available funds in accordance with the Flow of Funds Letter.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EACH BUYER’S OBLIGATION TO PURCHASE.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each Buyer hereunder to purchase its Note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firstLine="656"/>
        <w:spacing w:after="0" w:line="266" w:lineRule="auto"/>
        <w:tabs>
          <w:tab w:leader="none" w:pos="8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such Buyer each of the Transaction Documents to which it is a party and the Company shall have duly executed and delivered to such Buyer a Note (in such original principal amount as is set forth across from such Buyer’s name in column (3) of the Schedule of Buyers) being purchased by such Buyer at the Closing pursuant to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firstLine="656"/>
        <w:spacing w:after="0" w:line="282" w:lineRule="auto"/>
        <w:tabs>
          <w:tab w:leader="none" w:pos="9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opinion of Porter Hedges LLP, the Company’s counsel, dated as of the Closing Date, in the form acceptable to such Buyer.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copy of the Irrevocable Transfer Agent Instructions, in the form acceptable to such Buyer, which instructions shall have been delivered to and acknowledged in writing by the Company’s transfer agent and shall remain in full force and effect as of the Closing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formation and good standing (if a good standing concept exists in such jurisdiction) of the Company in such entity’s jurisdiction of formation issued by the Secretary of State (or comparable office) of such jurisdiction of formation as of a date within ten (10) days of the Closing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Company’s qualification as a foreign corporation and good standing issued by the Secretary of State (or comparable office) of each jurisdiction in which the Company conducts business and is required to so qualify, as of a date within ten (10) days of the Closing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certified copy of the Certificate of Incorporation as certified by the Delaware Secretary of State within ten (10) days of the Closing Date.</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89" w:lineRule="auto"/>
        <w:tabs>
          <w:tab w:leader="none" w:pos="9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such Buyer a certificate, in the form acceptable to such Buyer, executed by the Secretary of the Company and dated as of the Closing Date, as to (i) the resolutions consistent with Section 3(b) as adopted by the Company’s board of directors in a form reasonably acceptable to such Buyer, (ii) the Certificate of Incorporation of the Company and (iii) the Bylaws of the Company, each as in effect at the Closing.</w:t>
      </w:r>
    </w:p>
    <w:p>
      <w:pPr>
        <w:spacing w:after="0" w:line="157" w:lineRule="exact"/>
        <w:rPr>
          <w:rFonts w:ascii="Times New Roman" w:cs="Times New Roman" w:eastAsia="Times New Roman" w:hAnsi="Times New Roman"/>
          <w:sz w:val="17"/>
          <w:szCs w:val="17"/>
          <w:color w:val="auto"/>
        </w:rPr>
      </w:pPr>
    </w:p>
    <w:p>
      <w:pPr>
        <w:jc w:val="both"/>
        <w:ind w:firstLine="656"/>
        <w:spacing w:after="0" w:line="254" w:lineRule="auto"/>
        <w:tabs>
          <w:tab w:leader="none" w:pos="9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in all material respects (except for such representations and warranties that are qualified by materiality or material adverse effect,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material respects with (except for covenants, agreements or conditions that are qualified by materiality or material adverse effect, which shall be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of the Company, dated as of the Closing Date, to the foregoing effect and as to such other matters as may be reasonably requested by such Buyer in the form acceptable to such Buyer.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right="20" w:firstLine="656"/>
        <w:spacing w:after="0" w:line="282" w:lineRule="auto"/>
        <w:tabs>
          <w:tab w:leader="none" w:pos="8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letter or e-mail from the Company’s transfer agent certifying the number of shares of Common Stock outstanding on the Closing Date immediately prior to the Closing.</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(A) shall be designated for quotation or listed (as applicable) on the Principal Market and (B) shall not have been suspended, as of the Closing Date, by the SEC or the Principal Market from trading on the Principal Market nor shall suspension by the SEC or the Principal Market have been threatened, as of the Closing Date, either (I) in writing by the SEC or the Principal Market or (II) by falling below the minimum maintenance requirements of the Principal Market.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 party consents and approvals, if any, necessary for the sale of the Securities, including without limitation, those required by the Principal Market, if 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reasonably would have or result in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approval of the Principal Market to list or designate for quotation (as the case may be) the Conversion Shares and delivered to the Buyer a Supplemental Listing Application Form (a “</w:t>
      </w:r>
      <w:r>
        <w:rPr>
          <w:rFonts w:ascii="Times New Roman" w:cs="Times New Roman" w:eastAsia="Times New Roman" w:hAnsi="Times New Roman"/>
          <w:sz w:val="18"/>
          <w:szCs w:val="18"/>
          <w:b w:val="1"/>
          <w:bCs w:val="1"/>
          <w:color w:val="auto"/>
        </w:rPr>
        <w:t>Supplemental Listing Application</w:t>
      </w:r>
      <w:r>
        <w:rPr>
          <w:rFonts w:ascii="Times New Roman" w:cs="Times New Roman" w:eastAsia="Times New Roman" w:hAnsi="Times New Roman"/>
          <w:sz w:val="18"/>
          <w:szCs w:val="18"/>
          <w:color w:val="auto"/>
        </w:rPr>
        <w:t>”) as evidence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a letter on the letterhead of the Company, duly executed by the Chief Executive Officer of the Company, setting forth the wire amounts of each Buyer and the wire transfer instructions of the Company (the “</w:t>
      </w:r>
      <w:r>
        <w:rPr>
          <w:rFonts w:ascii="Times New Roman" w:cs="Times New Roman" w:eastAsia="Times New Roman" w:hAnsi="Times New Roman"/>
          <w:sz w:val="18"/>
          <w:szCs w:val="18"/>
          <w:b w:val="1"/>
          <w:bCs w:val="1"/>
          <w:color w:val="auto"/>
        </w:rPr>
        <w:t>Flow of Funds Letter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(i) trading in the Common Stock shall not have been suspended by the SEC or the Principal Market (except for any suspension of trading of limited duration, which suspension shall be terminated prior to the Closing), and, (ii) at any time prior to the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be effective and available for the issuance and sale of the Securities hereunder and the Company shall have delivered to such Buyer the Prospectus and the Prospectus Supplement with respect thereto as required hereunder and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ind w:firstLine="656"/>
        <w:spacing w:after="0" w:line="282" w:lineRule="auto"/>
        <w:tabs>
          <w:tab w:leader="none" w:pos="90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Closing shall not have occurred with respect to a Buyer within five (5)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shall be applicable only to such Buyer providing such written notice, provided further that no such termination shall affect any obligation of the Company under this Agreement to reimburse such Buyer for the expenses described in Section 4(j)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4" w:lineRule="exact"/>
        <w:rPr>
          <w:sz w:val="20"/>
          <w:szCs w:val="20"/>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18"/>
          <w:szCs w:val="18"/>
          <w:b w:val="1"/>
          <w:bCs w:val="1"/>
          <w:color w:val="auto"/>
        </w:rPr>
        <w:t>EACH</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656"/>
        <w:spacing w:after="0" w:line="258" w:lineRule="auto"/>
        <w:tabs>
          <w:tab w:leader="none" w:pos="91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to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56"/>
        <w:spacing w:after="0" w:line="251" w:lineRule="auto"/>
        <w:tabs>
          <w:tab w:leader="none" w:pos="8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(B) imposes any obligation or liability on any Buyer without such Buyer’s prior written consent (which may be granted or withheld in such Buyer’s sole discretion), or (C) disproportionally and adversely affect any rights under this Agreement of any Buyer without such Buyer’s prior written consent (which may be granted or withheld in such Buyer’s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(2) imposes any obligation or liability on any Buyer without such Buyer’s prior written consent (which may be granted or withheld in such Buyer’s sole discretion), or (3) disproportionally and adversely affect any rights under this Agreement of any Buyer without such Buyer’s prior written consent (which may be granted or withheld in such Buyer’s sole discretion).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 or any of its affiliates (the “</w:t>
      </w:r>
      <w:r>
        <w:rPr>
          <w:rFonts w:ascii="Times New Roman" w:cs="Times New Roman" w:eastAsia="Times New Roman" w:hAnsi="Times New Roman"/>
          <w:sz w:val="18"/>
          <w:szCs w:val="18"/>
          <w:b w:val="1"/>
          <w:bCs w:val="1"/>
          <w:color w:val="auto"/>
        </w:rPr>
        <w:t>Lead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In the event that the Company and the Required Holders amend this Agreement, the Company shall provide written notice of such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copy of the amendment and a summary of its material terms, to all other Buyers at or after 4:00 p.m. New York time on the same calendar day such amendment is made, and in no event later than the date immediately prior to the public disclosure of such amendment, whether by the filing of a Current Report on Form 8-K or by any other public announcement or filing by the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56"/>
        <w:spacing w:after="0" w:line="256" w:lineRule="auto"/>
        <w:tabs>
          <w:tab w:leader="none" w:pos="8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Robert Powers, Chief Financial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rpowers@oceanpowertech.com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Porter Hedges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1000 Main Street, 35th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Kevin J. Poli, Esq.</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kpoli@porterhedges.com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150 Royall Street, Suite 101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Canton, MA 02021-1011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(800) 662 - 7232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Marleen Grandeson-Mills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Marleen.Grandeson-Mills@computershare.com</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to a Buyer, to its mailing address and e-mail address set forth on the Schedule of Buyers, with copies to such Buyer’s representatives as set forth on the Schedule of Buyers,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Kelley Drye &amp; Warren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(212) 808-7540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Michael A. Adelstein, Esq.</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madelstein@kelleydrye.com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or to such other mailing address and/or e-mail address and/or to the attention of such other Person as the recipient party has specified by written notice given to each other party five (5) days prior to the effectiveness of such change, provided that Kelley Drye &amp; Warren LLP shall only be provided copies of notices sent to the lead Buyer.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w:t>
      </w:r>
    </w:p>
    <w:p>
      <w:pPr>
        <w:spacing w:after="0" w:line="3"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respectively.</w:t>
      </w:r>
    </w:p>
    <w:p>
      <w:pPr>
        <w:spacing w:after="0" w:line="206"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Notes (but excluding any purchasers of Underlying Securities, unless pursuant to a written assignment by such Buyer). The Company shall not assign this Agreement or any rights or obligations hereunder without the prior written consent of the Required Holders, including, without limitation, by way of a Fundamental Transaction (as defined in the Notes) (unless the Company is in compliance with the applicable provisions governing Fundamental Transactions set forth in the Notes).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the Indemnitees (as defined below) referred to in Section 9(k).</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29"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4(l),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left="-460" w:firstLine="644"/>
        <w:spacing w:after="0" w:line="251" w:lineRule="auto"/>
        <w:tabs>
          <w:tab w:leader="none" w:pos="4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9(k) of notice of the commencement of any action or proceeding (including any governmental action or proceeding) involving an Indemnified Liability, such Indemnitee shall, if a claim in respect thereof is to be made against the Company under this Section 9(k),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9(k), except to the extent that the Company is materially and adversely prejudiced in its ability to defend such action.</w:t>
      </w:r>
    </w:p>
    <w:p>
      <w:pPr>
        <w:spacing w:after="0" w:line="204" w:lineRule="exact"/>
        <w:rPr>
          <w:rFonts w:ascii="Times New Roman" w:cs="Times New Roman" w:eastAsia="Times New Roman" w:hAnsi="Times New Roman"/>
          <w:sz w:val="18"/>
          <w:szCs w:val="18"/>
          <w:color w:val="auto"/>
        </w:rPr>
      </w:pPr>
    </w:p>
    <w:p>
      <w:pPr>
        <w:ind w:left="-460" w:firstLine="644"/>
        <w:spacing w:after="0" w:line="282" w:lineRule="auto"/>
        <w:tabs>
          <w:tab w:leader="none" w:pos="5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9(k) shall be made by periodic payments of the amount thereof during the course of the investigation or defense, within ten (10) days after bills are received or Indemnified Liabilities are incurred.</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61" w:lineRule="auto"/>
        <w:tabs>
          <w:tab w:leader="none" w:pos="4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 contained herein shall be in addition to (A) any cause of action or similar right of the Indemnitee against the Company or others, and (B) any liabilities the Company may be subject to pursuant to the law.</w:t>
      </w: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3" w:name="page44"/>
    <w:bookmarkEnd w:id="43"/>
    <w:p>
      <w:pPr>
        <w:jc w:val="both"/>
        <w:ind w:firstLine="656"/>
        <w:spacing w:after="0" w:line="254" w:lineRule="auto"/>
        <w:tabs>
          <w:tab w:leader="none" w:pos="8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Except with respect to Section 4(x),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be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920" w:hanging="264"/>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Agreement, the conversion shall be made at the Exchange Rate prevailing on the Trading Day immediately preceding:</w:t>
      </w:r>
    </w:p>
    <w:p>
      <w:pPr>
        <w:spacing w:after="0" w:line="179" w:lineRule="exact"/>
        <w:rPr>
          <w:rFonts w:ascii="Times New Roman" w:cs="Times New Roman" w:eastAsia="Times New Roman" w:hAnsi="Times New Roman"/>
          <w:sz w:val="18"/>
          <w:szCs w:val="18"/>
          <w:color w:val="auto"/>
        </w:rPr>
      </w:pPr>
    </w:p>
    <w:p>
      <w:pPr>
        <w:ind w:left="1300" w:firstLine="1300"/>
        <w:spacing w:after="0" w:line="282" w:lineRule="auto"/>
        <w:tabs>
          <w:tab w:leader="none" w:pos="2855"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New York or in the courts of any other jurisdiction that will give effect to such conversion being made on such date: or</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5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9(p)(i)(2) being hereinafter referred to as the “</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9(p)(i)(2)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6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Buyers’ Obligations and Rights</w:t>
      </w:r>
      <w:r>
        <w:rPr>
          <w:rFonts w:ascii="Times New Roman" w:cs="Times New Roman" w:eastAsia="Times New Roman" w:hAnsi="Times New Roman"/>
          <w:sz w:val="18"/>
          <w:szCs w:val="18"/>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 OF BUYERS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9"/>
        </w:trPr>
        <w:tc>
          <w:tcPr>
            <w:tcW w:w="580" w:type="dxa"/>
            <w:vAlign w:val="bottom"/>
          </w:tcPr>
          <w:p>
            <w:pPr>
              <w:spacing w:after="0"/>
              <w:rPr>
                <w:sz w:val="24"/>
                <w:szCs w:val="24"/>
                <w:color w:val="auto"/>
              </w:rPr>
            </w:pPr>
          </w:p>
        </w:tc>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4"/>
                <w:szCs w:val="24"/>
                <w:color w:val="auto"/>
              </w:rPr>
            </w:pPr>
          </w:p>
        </w:tc>
        <w:tc>
          <w:tcPr>
            <w:tcW w:w="19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560" w:type="dxa"/>
            <w:vAlign w:val="bottom"/>
          </w:tcPr>
          <w:p>
            <w:pPr>
              <w:spacing w:after="0"/>
              <w:rPr>
                <w:sz w:val="24"/>
                <w:szCs w:val="24"/>
                <w:color w:val="auto"/>
              </w:rPr>
            </w:pPr>
          </w:p>
        </w:tc>
      </w:tr>
      <w:tr>
        <w:trPr>
          <w:trHeight w:val="194"/>
        </w:trPr>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Initial</w:t>
            </w:r>
          </w:p>
        </w:tc>
        <w:tc>
          <w:tcPr>
            <w:tcW w:w="18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Legal Representative’s</w:t>
            </w: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Mailing Address and</w:t>
            </w:r>
          </w:p>
        </w:tc>
        <w:tc>
          <w:tcPr>
            <w:tcW w:w="120" w:type="dxa"/>
            <w:vAlign w:val="bottom"/>
          </w:tcPr>
          <w:p>
            <w:pPr>
              <w:spacing w:after="0"/>
              <w:rPr>
                <w:sz w:val="18"/>
                <w:szCs w:val="18"/>
                <w:color w:val="auto"/>
              </w:rPr>
            </w:pPr>
          </w:p>
        </w:tc>
        <w:tc>
          <w:tcPr>
            <w:tcW w:w="23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Original Principal</w:t>
            </w: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2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Mailing Address and</w:t>
            </w:r>
          </w:p>
        </w:tc>
      </w:tr>
      <w:tr>
        <w:trPr>
          <w:trHeight w:val="238"/>
        </w:trPr>
        <w:tc>
          <w:tcPr>
            <w:tcW w:w="5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Buyer</w:t>
            </w:r>
          </w:p>
        </w:tc>
        <w:tc>
          <w:tcPr>
            <w:tcW w:w="2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E-mail Address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Notes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E-mail Address</w:t>
            </w:r>
          </w:p>
        </w:tc>
        <w:tc>
          <w:tcPr>
            <w:tcW w:w="560" w:type="dxa"/>
            <w:vAlign w:val="bottom"/>
          </w:tcPr>
          <w:p>
            <w:pPr>
              <w:spacing w:after="0"/>
              <w:rPr>
                <w:sz w:val="20"/>
                <w:szCs w:val="20"/>
                <w:color w:val="auto"/>
              </w:rPr>
            </w:pPr>
          </w:p>
        </w:tc>
      </w:tr>
      <w:tr>
        <w:trPr>
          <w:trHeight w:val="426"/>
        </w:trPr>
        <w:tc>
          <w:tcPr>
            <w:tcW w:w="580" w:type="dxa"/>
            <w:vAlign w:val="bottom"/>
          </w:tcPr>
          <w:p>
            <w:pPr>
              <w:spacing w:after="0"/>
              <w:rPr>
                <w:sz w:val="24"/>
                <w:szCs w:val="24"/>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[C-[ ]] SENIOR CONVERTIBLE NOTE]</w:t>
      </w:r>
    </w:p>
    <w:p>
      <w:pPr>
        <w:spacing w:after="0" w:line="22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color w:val="auto"/>
        </w:rPr>
        <w:t>THE PRINCIPAL AMOUNT REPRESENTED BY THIS NOTE AND, ACCORDINGLY, THE SECURITIES ISSUABLE UPON CONVERSION HEREOF MAY BE LESS THAN THE AMOUNTS SET FORTH ON THE FACE HEREOF PURSUANT TO SECTION 3(c)(iii) OF THIS NOTE.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cean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eries</w:t>
      </w:r>
      <w:r>
        <w:rPr>
          <w:rFonts w:ascii="Times New Roman" w:cs="Times New Roman" w:eastAsia="Times New Roman" w:hAnsi="Times New Roman"/>
          <w:sz w:val="18"/>
          <w:szCs w:val="18"/>
          <w:b w:val="1"/>
          <w:bCs w:val="1"/>
          <w:color w:val="auto"/>
        </w:rPr>
        <w:t xml:space="preserve"> [C-[ ]]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Issuance Date: [●] 20__</w:t>
      </w:r>
      <w:r>
        <w:rPr>
          <w:sz w:val="20"/>
          <w:szCs w:val="20"/>
          <w:color w:val="auto"/>
        </w:rPr>
        <w:tab/>
      </w:r>
      <w:r>
        <w:rPr>
          <w:rFonts w:ascii="Times New Roman" w:cs="Times New Roman" w:eastAsia="Times New Roman" w:hAnsi="Times New Roman"/>
          <w:sz w:val="18"/>
          <w:szCs w:val="18"/>
          <w:color w:val="auto"/>
        </w:rPr>
        <w:t>Original Principal Amount: U.S. $[●]</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Ocean Power Technologies,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Outstanding Principal Value (as defined below) with respect to such amount set forth above as the Original Principal Amount (as reduced pursuant to the terms hereof pursuant to redemption, conversion or otherwise,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on any Amortization Date (as defined below) with respect to the Amortization Amount (as defined below) due on such Amortization Date or upon acceleration, redemption or otherwise (in each case in accordance with the terms hereof) and, upon the occurrence and continuance of an Event of Default (as defined below), and to pay interest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on any Outstanding Principal Value at the Default Rate (as defined below), in each case, until the same becomes due and payable, whether upon the Maturity Date, on any Amortization Date with respect to the Amortization Amount due on such Amortization Date, or upon acceleration, conversion, redemption or otherwise (in each case in accordance with the terms hereof). This Series [C-[ ]] Senior Convertible Note (including all Senior Convertible Notes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one of an issue of Senior Convertible Notes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such other Senior Convertible Notes, the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is one of an issue of Senior Convertible Notes issued as of the date set forth above as the Issuance Date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pursuant to (i) Section 1 of that certain Securities Purchase Agreement, dated as of ___ __, 2026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and (ii) the Company’s Registration Statement on Form S-3 (File number 333-275843)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Certain capitalized terms used herein are defined in Section 33.</w:t>
      </w:r>
    </w:p>
    <w:p>
      <w:pPr>
        <w:spacing w:after="0" w:line="189" w:lineRule="exact"/>
        <w:rPr>
          <w:sz w:val="20"/>
          <w:szCs w:val="20"/>
          <w:color w:val="auto"/>
        </w:rPr>
      </w:pPr>
    </w:p>
    <w:p>
      <w:pPr>
        <w:jc w:val="both"/>
        <w:ind w:firstLine="656"/>
        <w:spacing w:after="0" w:line="253" w:lineRule="auto"/>
        <w:tabs>
          <w:tab w:leader="none" w:pos="8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PRINCIPAL</w:t>
      </w:r>
      <w:r>
        <w:rPr>
          <w:rFonts w:ascii="Times New Roman" w:cs="Times New Roman" w:eastAsia="Times New Roman" w:hAnsi="Times New Roman"/>
          <w:sz w:val="18"/>
          <w:szCs w:val="18"/>
          <w:color w:val="auto"/>
        </w:rPr>
        <w:t xml:space="preserve">. On each Amortization Date, the Company shall pay to the Holder an amount equal to the Amortization Amount due on such Amortization Date in accordance with Section 8. On the Maturity Date, the Company shall pay to the Holder an amount in cash (excluding any amounts paid in shares of Common Stock on the Maturity Date in accordance with Section 8) representing the Outstanding Value of this Note as of the Maturity Date. Other than as specifically permitted by this Note, the Company may not prepay any portion of the Outstanding Value. Notwithstanding anything herein to the contrary, with respect to any conversion or redemption hereunder, as applicable, the Company shall convert or redeem, as applicable,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all accrued and unpaid Late Charges on any Outstanding Principal Value, Make-Whole Amount and Interest hereunder and under any Other Notes held by the Holder and all other amounts owed to the Holder under any other Transaction Document (as defined in the Securities Purchase Agreement),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all accrued and unpaid Interest, if any, and Make-Whole Amount hereunder and under any Other Notes held by such Holder,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all other amounts (other than the Outstanding Principal Value) outstanding under any Other Notes held by such Holder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Outstanding Principal Value hereunder and under any Other Notes held by such Holder, in each case, allocated pro rata among this Note and such Other Notes held by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left="840" w:hanging="184"/>
        <w:spacing w:after="0"/>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INTEREST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this Note shall commence accruing on the Issuance Date and shall be computed on the basis of a 360-day year and twelve 30-day months and shall be payable in arrears on each Interest Date and shall compound each calendar month and shall be payable in accordance with the terms of this Note. Interest shall be paid (i) on each Interest Date occurring on an Amortization Date in accordance with Section 8 as part of the applicable Amortization Amount due on the applicable Amortization Date and (ii) with respect to each other Interest Date, on such Interest Date in cash.</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payment of Interest on an Interest Date, Interest on this Note shall accrue at the Interest Rate and be payable by way of inclusion of the Interest in the Conversion Amount on each Conversion Date in accordance with Section 3(c)(i) or upon any redemption in accordance with Section 13 or any required payment upon any Bankruptcy Event of Default. In the event that such Event of Default is subsequently cured or waived in writing (for the avoidance of doubt, electronic mail shall suffice as written notice herein) in accordance with the terms of this Note and the other Transaction Documents (and no other Event of Default then exists, unless waived by the Holder, including, without limitation, for the Company’s failure to pay such Interest at the Default Rate on the applicable Interest Date), the adjustment referred to in the preceding sentence shall cease to be effective as of the calendar day immediately following the date of such cure or waiver; unless expressly provided therein, any such cure or waiver shall not relieve the Company of its obligation to pay Interest at the Default Rate for the period from the occurrence of such Event of Default through and including the date of such cure or waiver of such Event of Default.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NOTES</w:t>
      </w:r>
      <w:r>
        <w:rPr>
          <w:rFonts w:ascii="Times New Roman" w:cs="Times New Roman" w:eastAsia="Times New Roman" w:hAnsi="Times New Roman"/>
          <w:sz w:val="18"/>
          <w:szCs w:val="18"/>
          <w:color w:val="auto"/>
        </w:rPr>
        <w:t>. At any time after the Issuance Date, this Note shall be convertible into validly issued, fully paid and non-assessable shares of Common Stock (as defined below), on the terms and conditions set forth in this Section 3.</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provisions of Section 3(d), at any time or times on or after the Issuance Date, the Holder shall be entitled to convert any portion of the outstanding and unpaid Conversion Amount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660" w:firstLine="644"/>
        <w:spacing w:after="0" w:line="282" w:lineRule="auto"/>
        <w:tabs>
          <w:tab w:leader="none" w:pos="15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980" w:firstLine="972"/>
        <w:spacing w:after="0" w:line="262" w:lineRule="auto"/>
        <w:tabs>
          <w:tab w:leader="none" w:pos="21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(A) the portion of the Outstanding Principal Value of this Note to be converted, redeemed or otherwise with respect to which this determination is being made, (B) accrued and unpaid Interest with respect to such Principal of this Note (if any), (C) the Make-Whole Amount, if any, (D) accrued and unpaid Late Charges with respect to such Principal of this Note, Make-Whole Amount and Interest, and (E) any other unpaid amounts pursuant to the Transaction Documents, if any.</w:t>
      </w:r>
    </w:p>
    <w:p>
      <w:pPr>
        <w:spacing w:after="0" w:line="123"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Conversion Date or other date of determination, $[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subject to adjustment as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herein.</w:t>
      </w:r>
    </w:p>
    <w:p>
      <w:pPr>
        <w:spacing w:after="0" w:line="205" w:lineRule="exact"/>
        <w:rPr>
          <w:sz w:val="20"/>
          <w:szCs w:val="20"/>
          <w:color w:val="auto"/>
        </w:rPr>
      </w:pPr>
    </w:p>
    <w:p>
      <w:pPr>
        <w:ind w:left="2200" w:hanging="248"/>
        <w:spacing w:after="0"/>
        <w:tabs>
          <w:tab w:leader="none" w:pos="2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980" w:firstLine="972"/>
        <w:spacing w:after="0" w:line="253" w:lineRule="auto"/>
        <w:tabs>
          <w:tab w:leader="none" w:pos="21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the Holder shall deliver (whether via electronic mail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of confirmation of receipt of such Conversion Notice (each, an “</w:t>
      </w: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Conversion Notice in accordance with the terms herein. On or before the first</w:t>
      </w:r>
    </w:p>
    <w:p>
      <w:pPr>
        <w:spacing w:after="0" w:line="3" w:lineRule="exact"/>
        <w:rPr>
          <w:sz w:val="20"/>
          <w:szCs w:val="20"/>
          <w:color w:val="auto"/>
        </w:rPr>
      </w:pPr>
    </w:p>
    <w:p>
      <w:pPr>
        <w:jc w:val="both"/>
        <w:ind w:left="980"/>
        <w:spacing w:after="0" w:line="244"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on which the Company has received a Conversion Notice (the “</w:t>
      </w:r>
      <w:r>
        <w:rPr>
          <w:rFonts w:ascii="Times New Roman" w:cs="Times New Roman" w:eastAsia="Times New Roman" w:hAnsi="Times New Roman"/>
          <w:sz w:val="18"/>
          <w:szCs w:val="18"/>
          <w:b w:val="1"/>
          <w:bCs w:val="1"/>
          <w:color w:val="auto"/>
        </w:rPr>
        <w:t>Share Delivery Deadline</w:t>
      </w:r>
      <w:r>
        <w:rPr>
          <w:rFonts w:ascii="Times New Roman" w:cs="Times New Roman" w:eastAsia="Times New Roman" w:hAnsi="Times New Roman"/>
          <w:sz w:val="18"/>
          <w:szCs w:val="18"/>
          <w:color w:val="auto"/>
        </w:rPr>
        <w:t>”), the Company shall (1) provided that the Transfer Agent is participating in The Depository Trust Company’s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Value of this Note is greater than the Outstanding Principal Value portion of the Conversion Amount being converted, then the Company shall as soon as practicable and in no event later than one (1) Business Day after receipt of this Note and at its own expense, issue and deliver to the Holder (or its designee) a new Note (in accordance with Section 20(d)) representing the Outstanding Principal Value not converted. The Person or Persons entitled to receive the shares of Common Stock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issuable upon a conversion of this Note shall be treated for all purposes as the record holder or holders of such Conversion Shares on the Conversion Date; provided, that the Holder shall be deemed to have waived any voting rights of any such Conversion Shares during the period commencing on such Conversion Date, through, and including, such applicable Share Delivery Deadline (each,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as necessary, such that the aggregate voting rights of any shares of Common Stock (including such Conversion Shares) beneficially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by the Holder and/or any Attribution Parties, collectively, on any such date of determination shall not exceed the Maximum Percentage (as defined below) as a result of any such conversion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83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2" w:lineRule="exact"/>
        <w:rPr>
          <w:sz w:val="20"/>
          <w:szCs w:val="20"/>
          <w:color w:val="auto"/>
        </w:rPr>
      </w:pPr>
    </w:p>
    <w:p>
      <w:pPr>
        <w:ind w:firstLine="8"/>
        <w:spacing w:after="0" w:line="195" w:lineRule="auto"/>
        <w:tabs>
          <w:tab w:leader="none" w:pos="192"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115% of the VWAP of the Common Stock on the Trading Day ended immediately preceding the time of execution of the Securities Purchase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972"/>
        <w:spacing w:after="0" w:line="253" w:lineRule="auto"/>
        <w:tabs>
          <w:tab w:leader="none" w:pos="1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Deadline,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the Holder, (1) the Company shall pay in cash</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the Holder on each day after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such Share Delivery Deadline that the issuance of such shares of Common Stock is not timely effected an amount equal to 0.5% of the product of (A) the sum of the number of shares of Common Stock not issued to the Holder on or prior to the Share Delivery Deadline and to which the Holder is entitled, multiplied by (B) any VWAP of the Common Stock of any Trading Day (as selected by the Holder in writing)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VWAP of the Common Stock on any Trading Day during the period commencing on the date of the applicable Conversion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spacing w:after="0" w:line="20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52" w:name="page53"/>
    <w:bookmarkEnd w:id="52"/>
    <w:p>
      <w:pPr>
        <w:jc w:val="both"/>
        <w:ind w:left="-140" w:firstLine="972"/>
        <w:spacing w:after="0" w:line="252" w:lineRule="auto"/>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Outstanding Principal Value, Make-Whole Amount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Outstanding Principal Value, Make-Whole Amount,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Outstanding Principal Value, Make-Whole Amount,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190" w:lineRule="exact"/>
        <w:rPr>
          <w:rFonts w:ascii="Times New Roman" w:cs="Times New Roman" w:eastAsia="Times New Roman" w:hAnsi="Times New Roman"/>
          <w:sz w:val="18"/>
          <w:szCs w:val="18"/>
          <w:color w:val="auto"/>
        </w:rPr>
      </w:pPr>
    </w:p>
    <w:p>
      <w:pPr>
        <w:jc w:val="both"/>
        <w:ind w:left="-140" w:firstLine="972"/>
        <w:spacing w:after="0" w:line="253" w:lineRule="auto"/>
        <w:tabs>
          <w:tab w:leader="none" w:pos="11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 If a Conversion Notice delivered to the Company would result in a breach of Section 3(d)(i) below, and the Holder does not elect in writing to withdraw, in whole, such Conversion Notice, the Company shall hold such Conversion Notice in abeyance until such time as such Conversion Notice may be satisfied without violating Section 3(d)(i) below (with such calculations thereunder made as of the date such Conversion Notice was initially delivered to the Company).</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3" w:name="page54"/>
    <w:bookmarkEnd w:id="53"/>
    <w:p>
      <w:pPr>
        <w:jc w:val="both"/>
        <w:ind w:firstLine="1952"/>
        <w:spacing w:after="0" w:line="247" w:lineRule="auto"/>
        <w:tabs>
          <w:tab w:leader="none" w:pos="21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3(d)(i). For purposes of this Section 3(d)(i),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Outstanding Share Number</w:t>
      </w:r>
      <w:r>
        <w:rPr>
          <w:rFonts w:ascii="Times New Roman" w:cs="Times New Roman" w:eastAsia="Times New Roman" w:hAnsi="Times New Roman"/>
          <w:sz w:val="18"/>
          <w:szCs w:val="18"/>
          <w:color w:val="auto"/>
        </w:rPr>
        <w:t>”). If the Company receives a Conversion Notice from the Holder at a time when the actual number of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3(d)(i),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w:t>
      </w:r>
    </w:p>
    <w:p>
      <w:pPr>
        <w:spacing w:after="0" w:line="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excess of 9.99% as specified in such notice; provided that (i) any such increase in the Maximum Percentage will not be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limitation contained in this paragraph may not be amended, modified or waived and shall apply to a successor holder of this Note.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left="840" w:hanging="184"/>
        <w:spacing w:after="0"/>
        <w:tabs>
          <w:tab w:leader="none" w:pos="8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EVENT OF DEFAULT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clauses (vi), (vii), and</w:t>
      </w:r>
    </w:p>
    <w:p>
      <w:pPr>
        <w:spacing w:after="0" w:line="3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980" w:firstLine="972"/>
        <w:spacing w:after="0" w:line="282" w:lineRule="auto"/>
        <w:tabs>
          <w:tab w:leader="none" w:pos="2174"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Common Stock to be trading or listed (as applicable) on an Eligible Market for a period of five (5) consecutive Trading Days;</w:t>
      </w:r>
    </w:p>
    <w:p>
      <w:pPr>
        <w:spacing w:after="0" w:line="161" w:lineRule="exact"/>
        <w:rPr>
          <w:rFonts w:ascii="Times New Roman" w:cs="Times New Roman" w:eastAsia="Times New Roman" w:hAnsi="Times New Roman"/>
          <w:sz w:val="18"/>
          <w:szCs w:val="18"/>
          <w:color w:val="auto"/>
        </w:rPr>
      </w:pPr>
    </w:p>
    <w:p>
      <w:pPr>
        <w:jc w:val="both"/>
        <w:ind w:left="980" w:firstLine="972"/>
        <w:spacing w:after="0" w:line="258" w:lineRule="auto"/>
        <w:tabs>
          <w:tab w:leader="none" w:pos="2238"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p>
    <w:p>
      <w:pPr>
        <w:spacing w:after="0" w:line="187" w:lineRule="exact"/>
        <w:rPr>
          <w:rFonts w:ascii="Times New Roman" w:cs="Times New Roman" w:eastAsia="Times New Roman" w:hAnsi="Times New Roman"/>
          <w:sz w:val="18"/>
          <w:szCs w:val="18"/>
          <w:color w:val="auto"/>
        </w:rPr>
      </w:pPr>
    </w:p>
    <w:p>
      <w:pPr>
        <w:jc w:val="both"/>
        <w:ind w:left="980" w:firstLine="972"/>
        <w:spacing w:after="0" w:line="231" w:lineRule="auto"/>
        <w:tabs>
          <w:tab w:leader="none" w:pos="2303"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Company is in compliance with Section 12(a) below, at any time following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day that the Holder’s Authorized Share Allocation (as defined in Section 12(a) below) is less than the sum of the number of shares of Common Stock that the Holder would be entitled to receive upon a conversion of the full Conversion Amount of this Note (without regard to any limitations on conversion set forth in Section 3(d) or otherwise);</w:t>
      </w:r>
    </w:p>
    <w:p>
      <w:pPr>
        <w:spacing w:after="0" w:line="198" w:lineRule="exact"/>
        <w:rPr>
          <w:rFonts w:ascii="Times New Roman" w:cs="Times New Roman" w:eastAsia="Times New Roman" w:hAnsi="Times New Roman"/>
          <w:sz w:val="18"/>
          <w:szCs w:val="18"/>
          <w:color w:val="auto"/>
        </w:rPr>
      </w:pPr>
    </w:p>
    <w:p>
      <w:pPr>
        <w:jc w:val="both"/>
        <w:ind w:left="980" w:firstLine="972"/>
        <w:spacing w:after="0" w:line="255" w:lineRule="auto"/>
        <w:tabs>
          <w:tab w:leader="none" w:pos="2288"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Subsidiary’s failure to pay to the Holder any amount of Outstanding Value (including, without limitation, the Company’s or any Subsidiary’s failure to pay any redemption payments or amounts hereunder) or any other Transaction Document or any other agreement, document, certificate or other instrument delivered in connection with the transactions contemplated hereby and thereby, except, (x) in the case of a failure to pay any Interest and/or Late Charges when and as due, in which case only if such failure remains uncured for a period of at least two (2) Trading Days and (y) in the case of a failure to pay any other amounts (other than Principal, Interest and/or Late Charges) when and as due, in which case only if such failure remains uncured for a period of at least five (5) Trading Days after written demand of payment by Holder to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left="-140" w:firstLine="972"/>
        <w:spacing w:after="0" w:line="266" w:lineRule="auto"/>
        <w:tabs>
          <w:tab w:leader="none" w:pos="11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unscheduled redemption or acceleration of maturity of at least an aggregate of $500,000 of Indebtedness (as defined in the Securities Purchase Agreement) of the Company or any of its Subsidiaries, other than with respect to any Other Notes;</w:t>
      </w:r>
    </w:p>
    <w:p>
      <w:pPr>
        <w:spacing w:after="0" w:line="175" w:lineRule="exact"/>
        <w:rPr>
          <w:rFonts w:ascii="Times New Roman" w:cs="Times New Roman" w:eastAsia="Times New Roman" w:hAnsi="Times New Roman"/>
          <w:sz w:val="18"/>
          <w:szCs w:val="18"/>
          <w:color w:val="auto"/>
        </w:rPr>
      </w:pPr>
    </w:p>
    <w:p>
      <w:pPr>
        <w:jc w:val="both"/>
        <w:ind w:left="-140" w:firstLine="972"/>
        <w:spacing w:after="0" w:line="266" w:lineRule="auto"/>
        <w:tabs>
          <w:tab w:leader="none" w:pos="11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sixty (60) days of their initiation;</w:t>
      </w:r>
    </w:p>
    <w:p>
      <w:pPr>
        <w:spacing w:after="0" w:line="175" w:lineRule="exact"/>
        <w:rPr>
          <w:rFonts w:ascii="Times New Roman" w:cs="Times New Roman" w:eastAsia="Times New Roman" w:hAnsi="Times New Roman"/>
          <w:sz w:val="18"/>
          <w:szCs w:val="18"/>
          <w:color w:val="auto"/>
        </w:rPr>
      </w:pPr>
    </w:p>
    <w:p>
      <w:pPr>
        <w:jc w:val="both"/>
        <w:ind w:left="-140" w:firstLine="972"/>
        <w:spacing w:after="0" w:line="253" w:lineRule="auto"/>
        <w:tabs>
          <w:tab w:leader="none" w:pos="118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89" w:lineRule="exact"/>
        <w:rPr>
          <w:rFonts w:ascii="Times New Roman" w:cs="Times New Roman" w:eastAsia="Times New Roman" w:hAnsi="Times New Roman"/>
          <w:sz w:val="18"/>
          <w:szCs w:val="18"/>
          <w:color w:val="auto"/>
        </w:rPr>
      </w:pPr>
    </w:p>
    <w:p>
      <w:pPr>
        <w:jc w:val="both"/>
        <w:ind w:left="-140" w:firstLine="972"/>
        <w:spacing w:after="0" w:line="254" w:lineRule="auto"/>
        <w:tabs>
          <w:tab w:leader="none" w:pos="12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6" w:name="page57"/>
    <w:bookmarkEnd w:id="56"/>
    <w:p>
      <w:pPr>
        <w:jc w:val="both"/>
        <w:ind w:left="-140" w:firstLine="972"/>
        <w:spacing w:after="0" w:line="254" w:lineRule="auto"/>
        <w:tabs>
          <w:tab w:leader="none" w:pos="11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$400,000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$400,000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91" w:lineRule="exact"/>
        <w:rPr>
          <w:rFonts w:ascii="Times New Roman" w:cs="Times New Roman" w:eastAsia="Times New Roman" w:hAnsi="Times New Roman"/>
          <w:sz w:val="18"/>
          <w:szCs w:val="18"/>
          <w:color w:val="auto"/>
        </w:rPr>
      </w:pPr>
    </w:p>
    <w:p>
      <w:pPr>
        <w:jc w:val="both"/>
        <w:ind w:left="-140" w:firstLine="972"/>
        <w:spacing w:after="0" w:line="255" w:lineRule="auto"/>
        <w:tabs>
          <w:tab w:leader="none" w:pos="109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Subsidiary, individually or in the aggregate, either fails to pay, when due, or within any applicable grace period, any payment with respect to any Indebtedness in excess of $1,000,000 due to any third party (other than (x) the MAR Earnout and (y)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$1,000,000 (other than the MAR Earnout), which breach or violation permits the other party thereto to declare a default or otherwise accelerate amounts due thereunder;</w:t>
      </w:r>
    </w:p>
    <w:p>
      <w:pPr>
        <w:spacing w:after="0" w:line="188" w:lineRule="exact"/>
        <w:rPr>
          <w:rFonts w:ascii="Times New Roman" w:cs="Times New Roman" w:eastAsia="Times New Roman" w:hAnsi="Times New Roman"/>
          <w:sz w:val="18"/>
          <w:szCs w:val="18"/>
          <w:color w:val="auto"/>
        </w:rPr>
      </w:pPr>
    </w:p>
    <w:p>
      <w:pPr>
        <w:jc w:val="both"/>
        <w:ind w:left="-140" w:firstLine="972"/>
        <w:spacing w:after="0" w:line="258" w:lineRule="auto"/>
        <w:tabs>
          <w:tab w:leader="none" w:pos="11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the Company or any Subsidiary breaches any representation or warranty in any material respect (other than representations or warranties that are qualified by materiality, which may not be breached in any respect), or any covenant or other term or condition of any Transaction Document, except, in the case of a breach of a covenant or other term or condition that is curable, only if such breach remains uncured for a period of six (6) Trading Days after written notice by Holder delivered to the Company;</w:t>
      </w:r>
    </w:p>
    <w:p>
      <w:pPr>
        <w:spacing w:after="0" w:line="183"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false or inaccurate certification by the Company as to whether any Event of Default has occurred;</w:t>
      </w:r>
    </w:p>
    <w:p>
      <w:pPr>
        <w:spacing w:after="0" w:line="225" w:lineRule="exact"/>
        <w:rPr>
          <w:rFonts w:ascii="Times New Roman" w:cs="Times New Roman" w:eastAsia="Times New Roman" w:hAnsi="Times New Roman"/>
          <w:sz w:val="18"/>
          <w:szCs w:val="18"/>
          <w:color w:val="auto"/>
        </w:rPr>
      </w:pPr>
    </w:p>
    <w:p>
      <w:pPr>
        <w:jc w:val="both"/>
        <w:ind w:left="-140" w:firstLine="972"/>
        <w:spacing w:after="0" w:line="266" w:lineRule="auto"/>
        <w:tabs>
          <w:tab w:leader="none" w:pos="12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any breach or failure in any respect by the Company or any Subsidiary to comply with any provision of Section 15 of this Note; except, in the case of a breach or failure to comply with any provision that is curable, only if such breach or failure remains uncured for a period of at least six (6) Trading Days;</w:t>
      </w:r>
    </w:p>
    <w:p>
      <w:pPr>
        <w:spacing w:after="0" w:line="175" w:lineRule="exact"/>
        <w:rPr>
          <w:rFonts w:ascii="Times New Roman" w:cs="Times New Roman" w:eastAsia="Times New Roman" w:hAnsi="Times New Roman"/>
          <w:sz w:val="18"/>
          <w:szCs w:val="18"/>
          <w:color w:val="auto"/>
        </w:rPr>
      </w:pPr>
    </w:p>
    <w:p>
      <w:pPr>
        <w:ind w:left="1220" w:hanging="388"/>
        <w:spacing w:after="0"/>
        <w:tabs>
          <w:tab w:leader="none" w:pos="12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(as defined in the Securities Purchase Agreement) occurs;</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7" w:name="page58"/>
    <w:bookmarkEnd w:id="57"/>
    <w:p>
      <w:pPr>
        <w:jc w:val="both"/>
        <w:ind w:left="324" w:firstLine="972"/>
        <w:spacing w:after="0" w:line="261" w:lineRule="auto"/>
        <w:tabs>
          <w:tab w:leader="none" w:pos="167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proceeding shall be commenced by the Company or any Subsidiary or any Governmental Entity (as defined in the Securities Purchase Agreement) having jurisdiction over any of them, seeking to establish the invalidity or unenforceability of any provision of any Transaction Document, or the Company or any Subsidiary shall deny in writing that it has any liability or obligation purported to be created under any Transaction Document;</w:t>
      </w:r>
    </w:p>
    <w:p>
      <w:pPr>
        <w:spacing w:after="0" w:line="179" w:lineRule="exact"/>
        <w:rPr>
          <w:rFonts w:ascii="Times New Roman" w:cs="Times New Roman" w:eastAsia="Times New Roman" w:hAnsi="Times New Roman"/>
          <w:sz w:val="18"/>
          <w:szCs w:val="18"/>
          <w:color w:val="auto"/>
        </w:rPr>
      </w:pPr>
    </w:p>
    <w:p>
      <w:pPr>
        <w:jc w:val="both"/>
        <w:ind w:left="324" w:firstLine="972"/>
        <w:spacing w:after="0" w:line="261" w:lineRule="auto"/>
        <w:tabs>
          <w:tab w:leader="none" w:pos="170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Company fails to have at least a dollar amount equal to 100% of all amounts then outstanding under the Notes at such time of determination in shares of Common Stock eligible and available to be issued, on demand by the Company, pursuant to an at-the-market offering agreement (and/or the Company fails to have an effective shelf registration statement to permit the issuances by the Company in full of such shares of Common Stock pursuant to such at-the-market offering agreement);</w:t>
      </w:r>
    </w:p>
    <w:p>
      <w:pPr>
        <w:spacing w:after="0" w:line="179" w:lineRule="exact"/>
        <w:rPr>
          <w:rFonts w:ascii="Times New Roman" w:cs="Times New Roman" w:eastAsia="Times New Roman" w:hAnsi="Times New Roman"/>
          <w:sz w:val="18"/>
          <w:szCs w:val="18"/>
          <w:color w:val="auto"/>
        </w:rPr>
      </w:pPr>
    </w:p>
    <w:p>
      <w:pPr>
        <w:jc w:val="both"/>
        <w:ind w:left="324" w:firstLine="972"/>
        <w:spacing w:after="0" w:line="266" w:lineRule="auto"/>
        <w:tabs>
          <w:tab w:leader="none" w:pos="174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Financial Covenant Failure within ten (10) Trading Days after the occurrence of such Financial Covenant Failure; provided that, the balance of Available Cash in an aggregate amount is equal to at least $2.0 million or (B) failure, at any time, to maintain a balance of Available Cash in an aggregate amount of at least $2.0 million; or</w:t>
      </w:r>
    </w:p>
    <w:p>
      <w:pPr>
        <w:spacing w:after="0" w:line="175" w:lineRule="exact"/>
        <w:rPr>
          <w:rFonts w:ascii="Times New Roman" w:cs="Times New Roman" w:eastAsia="Times New Roman" w:hAnsi="Times New Roman"/>
          <w:sz w:val="18"/>
          <w:szCs w:val="18"/>
          <w:color w:val="auto"/>
        </w:rPr>
      </w:pPr>
    </w:p>
    <w:p>
      <w:pPr>
        <w:ind w:left="1784" w:hanging="488"/>
        <w:spacing w:after="0"/>
        <w:tabs>
          <w:tab w:leader="none" w:pos="178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Notes) occurs with respect to any Other Notes.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Upon the occurrence of an Event of Default with respect to this Note or any Other Note, the Company shall within one (1) Business Day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(such earlier date, the “</w:t>
      </w:r>
      <w:r>
        <w:rPr>
          <w:rFonts w:ascii="Times New Roman" w:cs="Times New Roman" w:eastAsia="Times New Roman" w:hAnsi="Times New Roman"/>
          <w:sz w:val="18"/>
          <w:szCs w:val="18"/>
          <w:b w:val="1"/>
          <w:bCs w:val="1"/>
          <w:color w:val="auto"/>
        </w:rPr>
        <w:t>Event of Default Right Commencement Date</w:t>
      </w:r>
      <w:r>
        <w:rPr>
          <w:rFonts w:ascii="Times New Roman" w:cs="Times New Roman" w:eastAsia="Times New Roman" w:hAnsi="Times New Roman"/>
          <w:sz w:val="18"/>
          <w:szCs w:val="18"/>
          <w:color w:val="auto"/>
        </w:rPr>
        <w:t>”) and ending (such ending date, the “</w:t>
      </w:r>
      <w:r>
        <w:rPr>
          <w:rFonts w:ascii="Times New Roman" w:cs="Times New Roman" w:eastAsia="Times New Roman" w:hAnsi="Times New Roman"/>
          <w:sz w:val="18"/>
          <w:szCs w:val="18"/>
          <w:b w:val="1"/>
          <w:bCs w:val="1"/>
          <w:color w:val="auto"/>
        </w:rPr>
        <w:t>Event of Default Right Expiration Date</w:t>
      </w:r>
      <w:r>
        <w:rPr>
          <w:rFonts w:ascii="Times New Roman" w:cs="Times New Roman" w:eastAsia="Times New Roman" w:hAnsi="Times New Roman"/>
          <w:sz w:val="18"/>
          <w:szCs w:val="18"/>
          <w:color w:val="auto"/>
        </w:rPr>
        <w:t>”, and each such period, an “</w:t>
      </w:r>
      <w:r>
        <w:rPr>
          <w:rFonts w:ascii="Times New Roman" w:cs="Times New Roman" w:eastAsia="Times New Roman" w:hAnsi="Times New Roman"/>
          <w:sz w:val="18"/>
          <w:szCs w:val="18"/>
          <w:b w:val="1"/>
          <w:bCs w:val="1"/>
          <w:color w:val="auto"/>
        </w:rPr>
        <w:t>Event of Default Redemption Right</w:t>
      </w:r>
    </w:p>
    <w:p>
      <w:pPr>
        <w:spacing w:after="0" w:line="3"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on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the later of (x) the date such Event of Default is cured and (y) the Holder’s receipt of an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with the prior written consent of the Required Holders, may require the Company to redeem (regardless of whether such Event of Default has been cured on or prior to the Event of Default Right Expiration Date)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w:t>
      </w:r>
    </w:p>
    <w:p>
      <w:pPr>
        <w:spacing w:after="0" w:line="3" w:lineRule="exact"/>
        <w:rPr>
          <w:sz w:val="20"/>
          <w:szCs w:val="20"/>
          <w:color w:val="auto"/>
        </w:rPr>
      </w:pPr>
    </w:p>
    <w:p>
      <w:pPr>
        <w:jc w:val="both"/>
        <w:ind w:left="4" w:hanging="4"/>
        <w:spacing w:after="0" w:line="251" w:lineRule="auto"/>
        <w:tabs>
          <w:tab w:leader="none" w:pos="32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Amount to be redeemed multiplied by (B) the Redemption Premium and (ii) the product of (X) the quotient of (a) the Conversion Amount to be redeemed divided by (b) the Conversion Price then in effect at such time as the Holder delivers an Event of Default Redemption Notice multiplied by (Y) the product of (1) the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 Price</w:t>
      </w:r>
      <w:r>
        <w:rPr>
          <w:rFonts w:ascii="Times New Roman" w:cs="Times New Roman" w:eastAsia="Times New Roman" w:hAnsi="Times New Roman"/>
          <w:sz w:val="18"/>
          <w:szCs w:val="18"/>
          <w:color w:val="auto"/>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19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8" w:name="page59"/>
    <w:bookmarkEnd w:id="58"/>
    <w:p>
      <w:pPr>
        <w:jc w:val="both"/>
        <w:ind w:left="-460" w:firstLine="644"/>
        <w:spacing w:after="0" w:line="254" w:lineRule="auto"/>
        <w:tabs>
          <w:tab w:leader="none" w:pos="4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the Outstanding Value of this Note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192" w:lineRule="exact"/>
        <w:rPr>
          <w:sz w:val="20"/>
          <w:szCs w:val="20"/>
          <w:color w:val="auto"/>
        </w:rPr>
      </w:pPr>
    </w:p>
    <w:p>
      <w:pPr>
        <w:ind w:left="360" w:hanging="176"/>
        <w:spacing w:after="0"/>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2" w:lineRule="auto"/>
        <w:tabs>
          <w:tab w:leader="none" w:pos="4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this Note and the other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9" w:name="page60"/>
    <w:bookmarkEnd w:id="59"/>
    <w:p>
      <w:pPr>
        <w:jc w:val="both"/>
        <w:ind w:left="-460" w:firstLine="644"/>
        <w:spacing w:after="0" w:line="251" w:lineRule="auto"/>
        <w:tabs>
          <w:tab w:leader="none" w:pos="4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 Change of Control; Redemption Right</w:t>
      </w:r>
      <w:r>
        <w:rPr>
          <w:rFonts w:ascii="Times New Roman" w:cs="Times New Roman" w:eastAsia="Times New Roman" w:hAnsi="Times New Roman"/>
          <w:sz w:val="18"/>
          <w:szCs w:val="18"/>
          <w:color w:val="auto"/>
        </w:rPr>
        <w:t>. No sooner than twenty (20) Trading Days nor later than ten (10) Trading Days prior to the consummation of a Change of Control (the “</w:t>
      </w:r>
      <w:r>
        <w:rPr>
          <w:rFonts w:ascii="Times New Roman" w:cs="Times New Roman" w:eastAsia="Times New Roman" w:hAnsi="Times New Roman"/>
          <w:sz w:val="18"/>
          <w:szCs w:val="18"/>
          <w:b w:val="1"/>
          <w:bCs w:val="1"/>
          <w:color w:val="auto"/>
        </w:rPr>
        <w:t>Change of Control Date</w:t>
      </w:r>
      <w:r>
        <w:rPr>
          <w:rFonts w:ascii="Times New Roman" w:cs="Times New Roman" w:eastAsia="Times New Roman" w:hAnsi="Times New Roman"/>
          <w:sz w:val="18"/>
          <w:szCs w:val="18"/>
          <w:color w:val="auto"/>
        </w:rPr>
        <w:t>”), but not prior to the public announcement of such Change of Control, the Company shall deliver written notice thereof via electronic mail and overnight courier to the Holder (a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 w:cs="Times New Roman" w:eastAsia="Times New Roman" w:hAnsi="Times New Roman"/>
          <w:sz w:val="18"/>
          <w:szCs w:val="18"/>
          <w:b w:val="1"/>
          <w:bCs w:val="1"/>
          <w:color w:val="auto"/>
        </w:rPr>
        <w:t>Change of Control Redemption Notice</w:t>
      </w:r>
      <w:r>
        <w:rPr>
          <w:rFonts w:ascii="Times New Roman" w:cs="Times New Roman" w:eastAsia="Times New Roman" w:hAnsi="Times New Roman"/>
          <w:sz w:val="18"/>
          <w:szCs w:val="18"/>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cs="Times New Roman" w:eastAsia="Times New Roman" w:hAnsi="Times New Roman"/>
          <w:sz w:val="18"/>
          <w:szCs w:val="18"/>
          <w:b w:val="1"/>
          <w:bCs w:val="1"/>
          <w:color w:val="auto"/>
        </w:rPr>
        <w:t>Change of Control Redemption Price</w:t>
      </w:r>
      <w:r>
        <w:rPr>
          <w:rFonts w:ascii="Times New Roman" w:cs="Times New Roman" w:eastAsia="Times New Roman" w:hAnsi="Times New Roman"/>
          <w:sz w:val="18"/>
          <w:szCs w:val="18"/>
          <w:color w:val="auto"/>
        </w:rPr>
        <w:t>”). Redemptions required by this Section 5 shall be made in accordance with the provisions of 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0" w:name="page61"/>
    <w:bookmarkEnd w:id="60"/>
    <w:p>
      <w:pPr>
        <w:jc w:val="both"/>
        <w:ind w:left="4" w:firstLine="644"/>
        <w:spacing w:after="0" w:line="261" w:lineRule="auto"/>
        <w:tabs>
          <w:tab w:leader="none" w:pos="8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Change of Control Redemption Right</w:t>
      </w:r>
      <w:r>
        <w:rPr>
          <w:rFonts w:ascii="Times New Roman" w:cs="Times New Roman" w:eastAsia="Times New Roman" w:hAnsi="Times New Roman"/>
          <w:sz w:val="18"/>
          <w:szCs w:val="18"/>
          <w:color w:val="auto"/>
        </w:rPr>
        <w:t>. Notwithstanding anything in Section 5(a) or Section 5(b) to the contrary, as long as no Event of Default has occurred and is continuing, in connection with a Change of Control, the Company shall have the right, at any time during</w:t>
      </w:r>
    </w:p>
    <w:p>
      <w:pPr>
        <w:jc w:val="both"/>
        <w:ind w:left="4"/>
        <w:spacing w:after="0" w:line="236" w:lineRule="auto"/>
        <w:rPr>
          <w:sz w:val="20"/>
          <w:szCs w:val="20"/>
          <w:color w:val="auto"/>
        </w:rPr>
      </w:pPr>
      <w:r>
        <w:rPr>
          <w:rFonts w:ascii="Times New Roman" w:cs="Times New Roman" w:eastAsia="Times New Roman" w:hAnsi="Times New Roman"/>
          <w:sz w:val="18"/>
          <w:szCs w:val="18"/>
          <w:color w:val="auto"/>
        </w:rPr>
        <w:t>the period commencing on the applicable Change of Control Notice Date through, and including,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immediately prior to the applicable Change of Control Redemption Right End Date, by delivery of a written notice (the “</w:t>
      </w:r>
      <w:r>
        <w:rPr>
          <w:rFonts w:ascii="Times New Roman" w:cs="Times New Roman" w:eastAsia="Times New Roman" w:hAnsi="Times New Roman"/>
          <w:sz w:val="18"/>
          <w:szCs w:val="18"/>
          <w:b w:val="1"/>
          <w:bCs w:val="1"/>
          <w:color w:val="auto"/>
        </w:rPr>
        <w:t>Forced Change of Control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the Holder, to require the Holder to elect to effect a Change of Control Redemption in connection therewith (or, at the option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to receive Reference Property (as defined below), in whole or in part, with respect thereto). If the Company properly delivers a Forced Change of Control Redemption Notice in accordance with this Section 5(c), the Holder shall receive upon consummation of the Change of Control, at such Holder’s election, to be made by delivery of a notice to the Company stating such election (the “</w:t>
      </w:r>
      <w:r>
        <w:rPr>
          <w:rFonts w:ascii="Times New Roman" w:cs="Times New Roman" w:eastAsia="Times New Roman" w:hAnsi="Times New Roman"/>
          <w:sz w:val="18"/>
          <w:szCs w:val="18"/>
          <w:b w:val="1"/>
          <w:bCs w:val="1"/>
          <w:color w:val="auto"/>
        </w:rPr>
        <w:t>Forced 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to be delivered to the Company within the time periods of Section 5(b) for delivery of Change of Control Redemption Notice,</w:t>
      </w:r>
    </w:p>
    <w:p>
      <w:pPr>
        <w:spacing w:after="0" w:line="3" w:lineRule="exact"/>
        <w:rPr>
          <w:sz w:val="20"/>
          <w:szCs w:val="20"/>
          <w:color w:val="auto"/>
        </w:rPr>
      </w:pPr>
    </w:p>
    <w:p>
      <w:pPr>
        <w:jc w:val="both"/>
        <w:ind w:left="4" w:hanging="4"/>
        <w:spacing w:after="0" w:line="253" w:lineRule="auto"/>
        <w:tabs>
          <w:tab w:leader="none" w:pos="25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Change of Control Redemption Price in a Change of Control Redemption (with a Change of Control Redemption Notice being deemed to have been delivered to the Company as of the date of delivery of such Forced Change of Control Election Notice) or (ii) the kind and amount of cash, securities or other property receivable upon such Change of Control had the Conversion Amount been converted at the Conversion Price in accordance with Section 3(c) immediately prior to such Change of Control (without regard to any limitations on the conversion of this Note)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after which this Note shall be deemed repaid in full and cancelled.</w:t>
      </w:r>
    </w:p>
    <w:p>
      <w:pPr>
        <w:spacing w:after="0" w:line="187" w:lineRule="exact"/>
        <w:rPr>
          <w:sz w:val="20"/>
          <w:szCs w:val="20"/>
          <w:color w:val="auto"/>
        </w:rPr>
      </w:pPr>
    </w:p>
    <w:p>
      <w:pPr>
        <w:ind w:left="184" w:hanging="184"/>
        <w:spacing w:after="0"/>
        <w:tabs>
          <w:tab w:leader="none" w:pos="1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7 or 17 below, if at any time the Company grants, issues or sells any Options, Convertible Securities or rights to purchase stock, warrants, securities or other property pro rata, in each case, to all or substantially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1" w:name="page62"/>
    <w:bookmarkEnd w:id="61"/>
    <w:p>
      <w:pPr>
        <w:jc w:val="both"/>
        <w:ind w:left="-460" w:firstLine="644"/>
        <w:spacing w:after="0" w:line="253" w:lineRule="auto"/>
        <w:tabs>
          <w:tab w:leader="none" w:pos="4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Note.</w:t>
      </w:r>
    </w:p>
    <w:p>
      <w:pPr>
        <w:spacing w:after="0" w:line="187" w:lineRule="exact"/>
        <w:rPr>
          <w:sz w:val="20"/>
          <w:szCs w:val="20"/>
          <w:color w:val="auto"/>
        </w:rPr>
      </w:pPr>
    </w:p>
    <w:p>
      <w:pPr>
        <w:ind w:left="360" w:hanging="176"/>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OTHER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3" w:lineRule="auto"/>
        <w:tabs>
          <w:tab w:leader="none" w:pos="4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6 or Section 17,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or Section 17,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7(a) shall become effective immediately after the effective date of such subdivision or combination. If any event requiring an adjustment under this Section 7(a) occurs during the period that a Conversion Price is calculated hereunder, then the calculation of such Conversion Price shall be adjusted appropriately to reflect such event.</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25" w:lineRule="auto"/>
        <w:tabs>
          <w:tab w:leader="none" w:pos="44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by rounding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2" w:name="page63"/>
    <w:bookmarkEnd w:id="62"/>
    <w:p>
      <w:pPr>
        <w:jc w:val="both"/>
        <w:ind w:left="660" w:firstLine="644"/>
        <w:spacing w:after="0" w:line="276" w:lineRule="auto"/>
        <w:tabs>
          <w:tab w:leader="none" w:pos="155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Principal Market, the Company may at any time during the term of this Note reduce the then current Conversion Price of each of the Notes to any amount and for any period of time deemed appropriate</w:t>
      </w:r>
    </w:p>
    <w:p>
      <w:pPr>
        <w:spacing w:after="0" w:line="1" w:lineRule="exact"/>
        <w:rPr>
          <w:sz w:val="20"/>
          <w:szCs w:val="20"/>
          <w:color w:val="auto"/>
        </w:rPr>
      </w:pPr>
    </w:p>
    <w:p>
      <w:pPr>
        <w:ind w:left="660" w:right="20"/>
        <w:spacing w:after="0" w:line="209" w:lineRule="auto"/>
        <w:rPr>
          <w:sz w:val="20"/>
          <w:szCs w:val="20"/>
          <w:color w:val="auto"/>
        </w:rPr>
      </w:pPr>
      <w:r>
        <w:rPr>
          <w:rFonts w:ascii="Times New Roman" w:cs="Times New Roman" w:eastAsia="Times New Roman" w:hAnsi="Times New Roman"/>
          <w:sz w:val="18"/>
          <w:szCs w:val="18"/>
          <w:color w:val="auto"/>
        </w:rPr>
        <w:t>by the board of directors of the Company, but in no event less than $[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without the prior consent of the stockholders of the Company as required by the rules and regulations of the Principal Market.</w:t>
      </w:r>
    </w:p>
    <w:p>
      <w:pPr>
        <w:spacing w:after="0" w:line="203" w:lineRule="exact"/>
        <w:rPr>
          <w:sz w:val="20"/>
          <w:szCs w:val="20"/>
          <w:color w:val="auto"/>
        </w:rPr>
      </w:pPr>
    </w:p>
    <w:p>
      <w:pPr>
        <w:jc w:val="both"/>
        <w:ind w:firstLine="656"/>
        <w:spacing w:after="0" w:line="241" w:lineRule="auto"/>
        <w:tabs>
          <w:tab w:leader="none" w:pos="84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AMORTIZATION</w:t>
      </w:r>
      <w:r>
        <w:rPr>
          <w:rFonts w:ascii="Times New Roman" w:cs="Times New Roman" w:eastAsia="Times New Roman" w:hAnsi="Times New Roman"/>
          <w:sz w:val="18"/>
          <w:szCs w:val="18"/>
          <w:color w:val="auto"/>
        </w:rPr>
        <w:t>. On [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each three month anniversary thereafter until, but not including, the Maturity Date (each, an “</w:t>
      </w:r>
      <w:r>
        <w:rPr>
          <w:rFonts w:ascii="Times New Roman" w:cs="Times New Roman" w:eastAsia="Times New Roman" w:hAnsi="Times New Roman"/>
          <w:sz w:val="18"/>
          <w:szCs w:val="18"/>
          <w:b w:val="1"/>
          <w:bCs w:val="1"/>
          <w:color w:val="auto"/>
        </w:rPr>
        <w:t>Amortization Date</w:t>
      </w:r>
      <w:r>
        <w:rPr>
          <w:rFonts w:ascii="Times New Roman" w:cs="Times New Roman" w:eastAsia="Times New Roman" w:hAnsi="Times New Roman"/>
          <w:sz w:val="18"/>
          <w:szCs w:val="18"/>
          <w:color w:val="auto"/>
        </w:rPr>
        <w:t>”, and each such payment, each an “</w:t>
      </w:r>
      <w:r>
        <w:rPr>
          <w:rFonts w:ascii="Times New Roman" w:cs="Times New Roman" w:eastAsia="Times New Roman" w:hAnsi="Times New Roman"/>
          <w:sz w:val="18"/>
          <w:szCs w:val="18"/>
          <w:b w:val="1"/>
          <w:bCs w:val="1"/>
          <w:color w:val="auto"/>
        </w:rPr>
        <w:t>Amortization</w:t>
      </w:r>
      <w:r>
        <w:rPr>
          <w:rFonts w:ascii="Times New Roman" w:cs="Times New Roman" w:eastAsia="Times New Roman" w:hAnsi="Times New Roman"/>
          <w:sz w:val="18"/>
          <w:szCs w:val="18"/>
          <w:color w:val="auto"/>
        </w:rPr>
        <w:t>”), the Company shall redeem the Amortization Amount for such Amortization Date in cash to the Holder at a price equal to such Amortization Amount (as reduced for any Deferral (as defined below) by the Holder with respect to such Amortization Date) (each, an “</w:t>
      </w:r>
      <w:r>
        <w:rPr>
          <w:rFonts w:ascii="Times New Roman" w:cs="Times New Roman" w:eastAsia="Times New Roman" w:hAnsi="Times New Roman"/>
          <w:sz w:val="18"/>
          <w:szCs w:val="18"/>
          <w:b w:val="1"/>
          <w:bCs w:val="1"/>
          <w:color w:val="auto"/>
        </w:rPr>
        <w:t>Amortization Redemption Price</w:t>
      </w:r>
      <w:r>
        <w:rPr>
          <w:rFonts w:ascii="Times New Roman" w:cs="Times New Roman" w:eastAsia="Times New Roman" w:hAnsi="Times New Roman"/>
          <w:sz w:val="18"/>
          <w:szCs w:val="18"/>
          <w:color w:val="auto"/>
        </w:rPr>
        <w:t>”). The Company shall deliver a written notice (each, an “</w:t>
      </w:r>
      <w:r>
        <w:rPr>
          <w:rFonts w:ascii="Times New Roman" w:cs="Times New Roman" w:eastAsia="Times New Roman" w:hAnsi="Times New Roman"/>
          <w:sz w:val="18"/>
          <w:szCs w:val="18"/>
          <w:b w:val="1"/>
          <w:bCs w:val="1"/>
          <w:color w:val="auto"/>
        </w:rPr>
        <w:t>Amortization Notice</w:t>
      </w:r>
      <w:r>
        <w:rPr>
          <w:rFonts w:ascii="Times New Roman" w:cs="Times New Roman" w:eastAsia="Times New Roman" w:hAnsi="Times New Roman"/>
          <w:sz w:val="18"/>
          <w:szCs w:val="18"/>
          <w:color w:val="auto"/>
        </w:rPr>
        <w:t>”) to the Holder on the Trading Day immediately prior to each applicable Amortization Date in which an Amortization is due hereunder, specifying that an Amortization is required to occur hereunder and the Amortization Redemption Price of this Note for such Amortization Date (attaching reasonable calculations with respect thereto). At any time on or prior to any given Amortization Date, the Holder may defer (each, a “</w:t>
      </w:r>
      <w:r>
        <w:rPr>
          <w:rFonts w:ascii="Times New Roman" w:cs="Times New Roman" w:eastAsia="Times New Roman" w:hAnsi="Times New Roman"/>
          <w:sz w:val="18"/>
          <w:szCs w:val="18"/>
          <w:b w:val="1"/>
          <w:bCs w:val="1"/>
          <w:color w:val="auto"/>
        </w:rPr>
        <w:t>Deferral</w:t>
      </w:r>
      <w:r>
        <w:rPr>
          <w:rFonts w:ascii="Times New Roman" w:cs="Times New Roman" w:eastAsia="Times New Roman" w:hAnsi="Times New Roman"/>
          <w:sz w:val="18"/>
          <w:szCs w:val="18"/>
          <w:color w:val="auto"/>
        </w:rPr>
        <w:t>”) Amortization of all, or any part, of any Amortization Amount to be paid on such Amortization Date (each, a “</w:t>
      </w:r>
      <w:r>
        <w:rPr>
          <w:rFonts w:ascii="Times New Roman" w:cs="Times New Roman" w:eastAsia="Times New Roman" w:hAnsi="Times New Roman"/>
          <w:sz w:val="18"/>
          <w:szCs w:val="18"/>
          <w:b w:val="1"/>
          <w:bCs w:val="1"/>
          <w:color w:val="auto"/>
        </w:rPr>
        <w:t>Deferral Amount</w:t>
      </w:r>
      <w:r>
        <w:rPr>
          <w:rFonts w:ascii="Times New Roman" w:cs="Times New Roman" w:eastAsia="Times New Roman" w:hAnsi="Times New Roman"/>
          <w:sz w:val="18"/>
          <w:szCs w:val="18"/>
          <w:color w:val="auto"/>
        </w:rPr>
        <w:t>”) to any other date, which shall then become an Amortization Date, by delivery of written notice to the Company.</w:t>
      </w:r>
    </w:p>
    <w:p>
      <w:pPr>
        <w:spacing w:after="0" w:line="19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PLACEMENT OPTIONAL REDEMPTION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5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from and after the earlier of (x) the date the Holder becomes aware of the occurrence of a Subsequent Placement (the “</w:t>
      </w:r>
      <w:r>
        <w:rPr>
          <w:rFonts w:ascii="Times New Roman" w:cs="Times New Roman" w:eastAsia="Times New Roman" w:hAnsi="Times New Roman"/>
          <w:sz w:val="18"/>
          <w:szCs w:val="18"/>
          <w:b w:val="1"/>
          <w:bCs w:val="1"/>
          <w:color w:val="auto"/>
        </w:rPr>
        <w:t>Holder Subsequent Placement Notice Date</w:t>
      </w:r>
      <w:r>
        <w:rPr>
          <w:rFonts w:ascii="Times New Roman" w:cs="Times New Roman" w:eastAsia="Times New Roman" w:hAnsi="Times New Roman"/>
          <w:sz w:val="18"/>
          <w:szCs w:val="18"/>
          <w:color w:val="auto"/>
        </w:rPr>
        <w:t>”) and (y) the time of consummation of a Subsequent Placement (in each case, other than with respect to Excluded Securities) (each, an “</w:t>
      </w:r>
      <w:r>
        <w:rPr>
          <w:rFonts w:ascii="Times New Roman" w:cs="Times New Roman" w:eastAsia="Times New Roman" w:hAnsi="Times New Roman"/>
          <w:sz w:val="18"/>
          <w:szCs w:val="18"/>
          <w:b w:val="1"/>
          <w:bCs w:val="1"/>
          <w:color w:val="auto"/>
        </w:rPr>
        <w:t>Eligible Subsequent Placement</w:t>
      </w:r>
      <w:r>
        <w:rPr>
          <w:rFonts w:ascii="Times New Roman" w:cs="Times New Roman" w:eastAsia="Times New Roman" w:hAnsi="Times New Roman"/>
          <w:sz w:val="18"/>
          <w:szCs w:val="18"/>
          <w:color w:val="auto"/>
        </w:rPr>
        <w:t>”), the Holder shall have the right, in its sole discretion, to require that the Company redeem (each an “</w:t>
      </w:r>
      <w:r>
        <w:rPr>
          <w:rFonts w:ascii="Times New Roman" w:cs="Times New Roman" w:eastAsia="Times New Roman" w:hAnsi="Times New Roman"/>
          <w:sz w:val="18"/>
          <w:szCs w:val="18"/>
          <w:b w:val="1"/>
          <w:bCs w:val="1"/>
          <w:color w:val="auto"/>
        </w:rPr>
        <w:t>Subsequent Placement Optional Redemption</w:t>
      </w:r>
      <w:r>
        <w:rPr>
          <w:rFonts w:ascii="Times New Roman" w:cs="Times New Roman" w:eastAsia="Times New Roman" w:hAnsi="Times New Roman"/>
          <w:sz w:val="18"/>
          <w:szCs w:val="18"/>
          <w:color w:val="auto"/>
        </w:rPr>
        <w:t>”) all, or any portion, of the Conversion Amount under this Note not in excess of (together with any Subsequent Placement Optional Redemption Amount (as defined in the applicable other Note of the Holder) of any other Notes of the Holder) the Holder’s Holder Pro Rata Amount of 30% of the net proceeds of such Eligible Subsequent Placement (the “</w:t>
      </w:r>
      <w:r>
        <w:rPr>
          <w:rFonts w:ascii="Times New Roman" w:cs="Times New Roman" w:eastAsia="Times New Roman" w:hAnsi="Times New Roman"/>
          <w:sz w:val="18"/>
          <w:szCs w:val="18"/>
          <w:b w:val="1"/>
          <w:bCs w:val="1"/>
          <w:color w:val="auto"/>
        </w:rPr>
        <w:t>Eligible Subsequent Placement Optional Redemption Amount</w:t>
      </w:r>
      <w:r>
        <w:rPr>
          <w:rFonts w:ascii="Times New Roman" w:cs="Times New Roman" w:eastAsia="Times New Roman" w:hAnsi="Times New Roman"/>
          <w:sz w:val="18"/>
          <w:szCs w:val="18"/>
          <w:color w:val="auto"/>
        </w:rPr>
        <w:t>”) by delivering written notice thereof (an “</w:t>
      </w:r>
      <w:r>
        <w:rPr>
          <w:rFonts w:ascii="Times New Roman" w:cs="Times New Roman" w:eastAsia="Times New Roman" w:hAnsi="Times New Roman"/>
          <w:sz w:val="18"/>
          <w:szCs w:val="18"/>
          <w:b w:val="1"/>
          <w:bCs w:val="1"/>
          <w:color w:val="auto"/>
        </w:rPr>
        <w:t>Subsequent Placement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to the Company.</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56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Each Subsequent Placement Optional Redemption Notice shall indicate that all, or such applicable portion, as set forth in the applicable Subsequent Placement Optional Redemption Notice, of the Eligible Subsequent Placement Optional Redemption Amount the Holder is electing to have redeemed (the “</w:t>
      </w:r>
      <w:r>
        <w:rPr>
          <w:rFonts w:ascii="Times New Roman" w:cs="Times New Roman" w:eastAsia="Times New Roman" w:hAnsi="Times New Roman"/>
          <w:sz w:val="18"/>
          <w:szCs w:val="18"/>
          <w:b w:val="1"/>
          <w:bCs w:val="1"/>
          <w:color w:val="auto"/>
        </w:rPr>
        <w:t>Subsequent Placement Optional Redemption Amount</w:t>
      </w:r>
      <w:r>
        <w:rPr>
          <w:rFonts w:ascii="Times New Roman" w:cs="Times New Roman" w:eastAsia="Times New Roman" w:hAnsi="Times New Roman"/>
          <w:sz w:val="18"/>
          <w:szCs w:val="18"/>
          <w:color w:val="auto"/>
        </w:rPr>
        <w:t>”) and the date of such Subsequent Placement</w:t>
      </w:r>
    </w:p>
    <w:p>
      <w:pPr>
        <w:spacing w:after="0" w:line="1"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Optional Redemption (the “</w:t>
      </w:r>
      <w:r>
        <w:rPr>
          <w:rFonts w:ascii="Times New Roman" w:cs="Times New Roman" w:eastAsia="Times New Roman" w:hAnsi="Times New Roman"/>
          <w:sz w:val="18"/>
          <w:szCs w:val="18"/>
          <w:b w:val="1"/>
          <w:bCs w:val="1"/>
          <w:color w:val="auto"/>
        </w:rPr>
        <w:t>Subsequent Placement Optional Redemption Date</w:t>
      </w:r>
      <w:r>
        <w:rPr>
          <w:rFonts w:ascii="Times New Roman" w:cs="Times New Roman" w:eastAsia="Times New Roman" w:hAnsi="Times New Roman"/>
          <w:sz w:val="18"/>
          <w:szCs w:val="18"/>
          <w:color w:val="auto"/>
        </w:rPr>
        <w:t>”), which shall be the later of (x)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the applicable Subsequent Placement Optional Redemption Notice and (y) the date of the consummation of such Eligible Subsequent Placement. The portion of the Conversion Amount of this Note subject to redemption pursuant to this Section 10 shall be redeemed by the Company in cash at a price equal to the Subsequent Placement Optional Redemption Amount (the “</w:t>
      </w:r>
      <w:r>
        <w:rPr>
          <w:rFonts w:ascii="Times New Roman" w:cs="Times New Roman" w:eastAsia="Times New Roman" w:hAnsi="Times New Roman"/>
          <w:sz w:val="18"/>
          <w:szCs w:val="18"/>
          <w:b w:val="1"/>
          <w:bCs w:val="1"/>
          <w:color w:val="auto"/>
        </w:rPr>
        <w:t>Subsequent Placement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Redemptions required by this Section 10 shall be made in accordance with the provisions of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8" w:lineRule="exact"/>
        <w:rPr>
          <w:sz w:val="20"/>
          <w:szCs w:val="20"/>
          <w:color w:val="auto"/>
        </w:rPr>
      </w:pPr>
    </w:p>
    <w:p>
      <w:pPr>
        <w:ind w:firstLine="8"/>
        <w:spacing w:after="0" w:line="195" w:lineRule="auto"/>
        <w:tabs>
          <w:tab w:leader="none" w:pos="120"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113% of the NYSE American Minimum Price as of the Trading Day ended immediately prior to the time of execution of the Securities Purchase Agreement</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Insert the three month anniversary of the Issuance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656"/>
        <w:spacing w:after="0" w:line="253" w:lineRule="auto"/>
        <w:tabs>
          <w:tab w:leader="none" w:pos="9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5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w:t>
      </w:r>
      <w:r>
        <w:rPr>
          <w:rFonts w:ascii="Times New Roman" w:cs="Times New Roman" w:eastAsia="Times New Roman" w:hAnsi="Times New Roman"/>
          <w:sz w:val="18"/>
          <w:szCs w:val="18"/>
          <w:color w:val="auto"/>
        </w:rPr>
        <w:t>. So long as any Notes remain outstanding, the Company shall at all times reserve at least 110% of the maximum number of shares of Common Stock issuable upon conversion of all the Notes then outstanding (without regard to any limitations on conversions and assuming for purposes hereof that the Notes are convertible at the Conversion Price assuming a Conversion Date as of such applicable date of determination)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(including, without limitation, each increase in the number of shares so reserved) shall be allocated pro rata among the holders of the Notes based on the original principal amount of the Notes held by each holder on the Closing Date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12(a), and not in limitation thereof, at any time while any of the Notes remain outstanding the Company does not have a sufficient number of authorized and unreserved (or reserved pursuant to Section 12(a)) shares of Common Stock to satisfy its obligation to reserve for issuance upon conversion of the Notes at least a number of shares of Common Stock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VWAP of the Common Stock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left="264" w:hanging="264"/>
        <w:spacing w:after="0"/>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2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The Company shall deliver the applicable Event of Default Redemption Price to the Holder in cash within five (5) Business Days after the Company’s receipt of the Holder’s Event of Default Redemption Notice (each, an “</w:t>
      </w:r>
      <w:r>
        <w:rPr>
          <w:rFonts w:ascii="Times New Roman" w:cs="Times New Roman" w:eastAsia="Times New Roman" w:hAnsi="Times New Roman"/>
          <w:sz w:val="18"/>
          <w:szCs w:val="18"/>
          <w:b w:val="1"/>
          <w:bCs w:val="1"/>
          <w:color w:val="auto"/>
        </w:rPr>
        <w:t>Event of Default Redemption Date</w:t>
      </w:r>
      <w:r>
        <w:rPr>
          <w:rFonts w:ascii="Times New Roman" w:cs="Times New Roman" w:eastAsia="Times New Roman" w:hAnsi="Times New Roman"/>
          <w:sz w:val="18"/>
          <w:szCs w:val="18"/>
          <w:color w:val="auto"/>
        </w:rPr>
        <w:t>”). If the Holder has submitted a Change of Control Redemption Notice in accordance with Section 5,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(each, an “</w:t>
      </w:r>
      <w:r>
        <w:rPr>
          <w:rFonts w:ascii="Times New Roman" w:cs="Times New Roman" w:eastAsia="Times New Roman" w:hAnsi="Times New Roman"/>
          <w:sz w:val="18"/>
          <w:szCs w:val="18"/>
          <w:b w:val="1"/>
          <w:bCs w:val="1"/>
          <w:color w:val="auto"/>
        </w:rPr>
        <w:t>Change of Control Redemption Date</w:t>
      </w:r>
      <w:r>
        <w:rPr>
          <w:rFonts w:ascii="Times New Roman" w:cs="Times New Roman" w:eastAsia="Times New Roman" w:hAnsi="Times New Roman"/>
          <w:sz w:val="18"/>
          <w:szCs w:val="18"/>
          <w:color w:val="auto"/>
        </w:rPr>
        <w:t>”). The Company shall deliver the applicable Amortization Redemption Price to the Holder in cash on the applicable Amortization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Value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50% of the lowest Closing Bid Price of the Common Stock during the period beginning on and including the date on which the applicable Redemption Notice is delivered to the Company and ending on and including the date on which the applicable Redemption Notice is voided and (C) 50% of the quotient of (I) the sum of the five</w:t>
      </w:r>
    </w:p>
    <w:p>
      <w:pPr>
        <w:spacing w:after="0" w:line="6" w:lineRule="exact"/>
        <w:rPr>
          <w:rFonts w:ascii="Times New Roman" w:cs="Times New Roman" w:eastAsia="Times New Roman" w:hAnsi="Times New Roman"/>
          <w:sz w:val="18"/>
          <w:szCs w:val="18"/>
          <w:color w:val="auto"/>
        </w:rPr>
      </w:pPr>
    </w:p>
    <w:p>
      <w:pPr>
        <w:jc w:val="both"/>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lowest VWAPs of the Common Stock during the twenty (20) consecutive Trading Day period ending and including the applicable Conversion Date divided by (II) five (5) (it being understood and agreed that all such determinations shall be appropriately adjusted for any stock dividend, 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5" w:name="page66"/>
    <w:bookmarkEnd w:id="65"/>
    <w:p>
      <w:pPr>
        <w:jc w:val="both"/>
        <w:ind w:left="660" w:firstLine="644"/>
        <w:spacing w:after="0" w:line="253" w:lineRule="auto"/>
        <w:tabs>
          <w:tab w:leader="none" w:pos="15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Other Holders</w:t>
      </w:r>
      <w:r>
        <w:rPr>
          <w:rFonts w:ascii="Times New Roman" w:cs="Times New Roman" w:eastAsia="Times New Roman" w:hAnsi="Times New Roman"/>
          <w:sz w:val="18"/>
          <w:szCs w:val="18"/>
          <w:color w:val="auto"/>
        </w:rPr>
        <w:t>. Upon the Company’s receipt of notice from any of the holders of the Other Notes for redemption or repayment as a result of an event or occurrence substantially similar to the events or occurrences described in Section 4(b) or Section 5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of its receipt thereof, forward to the Holder by electronic mail a copy of such notice. If the Company receives a Redemption Notice and one or more Other Redemption Notices, during the five (5)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five (5)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five (5) Business Day period.</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w:t>
      </w:r>
    </w:p>
    <w:p>
      <w:pPr>
        <w:spacing w:after="0" w:line="223"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5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Notes and (b) shall be senior to all other Indebtedness of the Company and its Subsidiaries (other than Permitted Indebtedness secured by Permitted Liens).</w:t>
      </w:r>
    </w:p>
    <w:p>
      <w:pPr>
        <w:spacing w:after="0" w:line="160"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of Liens</w:t>
      </w:r>
      <w:r>
        <w:rPr>
          <w:rFonts w:ascii="Times New Roman" w:cs="Times New Roman" w:eastAsia="Times New Roman" w:hAnsi="Times New Roman"/>
          <w:sz w:val="18"/>
          <w:szCs w:val="18"/>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Payments and Investments</w:t>
      </w:r>
      <w:r>
        <w:rPr>
          <w:rFonts w:ascii="Times New Roman" w:cs="Times New Roman" w:eastAsia="Times New Roman" w:hAnsi="Times New Roman"/>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and Permitted Payments)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an event constituting an Event of Default has occurred and is continuing or would occur after giving effect to such payment.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on any of its capital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ind w:left="-460" w:firstLine="644"/>
        <w:spacing w:after="0" w:line="258" w:lineRule="auto"/>
        <w:tabs>
          <w:tab w:leader="none" w:pos="4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(each, an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of Indebtedness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15(g)</w:t>
      </w:r>
      <w:r>
        <w:rPr>
          <w:rFonts w:ascii="Times New Roman" w:cs="Times New Roman" w:eastAsia="Times New Roman" w:hAnsi="Times New Roman"/>
          <w:sz w:val="18"/>
          <w:szCs w:val="18"/>
          <w:color w:val="auto"/>
        </w:rPr>
        <w:t xml:space="preserve"> attached hereto, the Company shall not, and the Company shall cause each of its Subsidiaries to not, directly or indirectly, permit any Indebtedness of the Company or any of its Subsidiaries to mature or accelerate prior to the Maturity Date.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with responsible and reputable insurance companies or associations (including, without limitation, comprehensive general liability, property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7" w:name="page68"/>
    <w:bookmarkEnd w:id="67"/>
    <w:p>
      <w:pPr>
        <w:jc w:val="both"/>
        <w:ind w:left="-460" w:firstLine="644"/>
        <w:spacing w:after="0" w:line="261" w:lineRule="auto"/>
        <w:tabs>
          <w:tab w:leader="none" w:pos="49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Issuances</w:t>
      </w:r>
      <w:r>
        <w:rPr>
          <w:rFonts w:ascii="Times New Roman" w:cs="Times New Roman" w:eastAsia="Times New Roman" w:hAnsi="Times New Roman"/>
          <w:sz w:val="18"/>
          <w:szCs w:val="18"/>
          <w:color w:val="auto"/>
        </w:rPr>
        <w:t>. The Company shall not, directly or indirectly, without the prior written consent of the holders of a majority in aggregate principal amount of the Notes then outstanding, (i) issue any Notes (other than as contemplated by the Securities Purchase Agreement and the Notes) or (ii) issue any other securities that would cause (or with the passage of time would reasonably be expected to cause) an Event of Default under the Notes.</w:t>
      </w:r>
    </w:p>
    <w:p>
      <w:pPr>
        <w:spacing w:after="0" w:line="17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Covenants; Announcement of Operating Results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07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at all times, a balance of Available Cash in an aggregate amount equal to or exceed, as applicable, $2.0 million (the “</w:t>
      </w:r>
      <w:r>
        <w:rPr>
          <w:rFonts w:ascii="Times New Roman" w:cs="Times New Roman" w:eastAsia="Times New Roman" w:hAnsi="Times New Roman"/>
          <w:sz w:val="18"/>
          <w:szCs w:val="18"/>
          <w:b w:val="1"/>
          <w:bCs w:val="1"/>
          <w:color w:val="auto"/>
        </w:rPr>
        <w:t>Financial Test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3"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Results Announcement</w:t>
      </w:r>
      <w:r>
        <w:rPr>
          <w:rFonts w:ascii="Times New Roman" w:cs="Times New Roman" w:eastAsia="Times New Roman" w:hAnsi="Times New Roman"/>
          <w:sz w:val="18"/>
          <w:szCs w:val="18"/>
          <w:color w:val="auto"/>
        </w:rPr>
        <w:t>. Commencing on the Issuance Date, upon the occurrence of an Event of Default pursuant to Section 4(a)(xvii) (each such failure, a “</w:t>
      </w:r>
      <w:r>
        <w:rPr>
          <w:rFonts w:ascii="Times New Roman" w:cs="Times New Roman" w:eastAsia="Times New Roman" w:hAnsi="Times New Roman"/>
          <w:sz w:val="18"/>
          <w:szCs w:val="18"/>
          <w:b w:val="1"/>
          <w:bCs w:val="1"/>
          <w:color w:val="auto"/>
        </w:rPr>
        <w:t>Financial Covenant Failure</w:t>
      </w:r>
      <w:r>
        <w:rPr>
          <w:rFonts w:ascii="Times New Roman" w:cs="Times New Roman" w:eastAsia="Times New Roman" w:hAnsi="Times New Roman"/>
          <w:sz w:val="18"/>
          <w:szCs w:val="18"/>
          <w:color w:val="auto"/>
        </w:rPr>
        <w:t>”), the Company shall notify the Holder in writing that it desires to deliver to the Holder material non-public information (each, a “</w:t>
      </w:r>
      <w:r>
        <w:rPr>
          <w:rFonts w:ascii="Times New Roman" w:cs="Times New Roman" w:eastAsia="Times New Roman" w:hAnsi="Times New Roman"/>
          <w:sz w:val="18"/>
          <w:szCs w:val="18"/>
          <w:b w:val="1"/>
          <w:bCs w:val="1"/>
          <w:color w:val="auto"/>
        </w:rPr>
        <w:t>Pre-Notice</w:t>
      </w:r>
      <w:r>
        <w:rPr>
          <w:rFonts w:ascii="Times New Roman" w:cs="Times New Roman" w:eastAsia="Times New Roman" w:hAnsi="Times New Roman"/>
          <w:sz w:val="18"/>
          <w:szCs w:val="18"/>
          <w:color w:val="auto"/>
        </w:rPr>
        <w:t>”). If the Holder upon receipt of such Pre-Notice elects in writing to receive such material non-public information (which may be an e-mail), the Company shall promptly provide to the Holders a written certification, executed on behalf of the Company by the Chief Financial Officer of the Company, certifying that a Financial Covenant Failure exists for such Fiscal Quarter or Fiscal Year, as applicable (each, a “</w:t>
      </w:r>
      <w:r>
        <w:rPr>
          <w:rFonts w:ascii="Times New Roman" w:cs="Times New Roman" w:eastAsia="Times New Roman" w:hAnsi="Times New Roman"/>
          <w:sz w:val="18"/>
          <w:szCs w:val="18"/>
          <w:b w:val="1"/>
          <w:bCs w:val="1"/>
          <w:color w:val="auto"/>
        </w:rPr>
        <w:t>Financial Covenant Event Notice</w:t>
      </w:r>
      <w:r>
        <w:rPr>
          <w:rFonts w:ascii="Times New Roman" w:cs="Times New Roman" w:eastAsia="Times New Roman" w:hAnsi="Times New Roman"/>
          <w:sz w:val="18"/>
          <w:szCs w:val="18"/>
          <w:color w:val="auto"/>
        </w:rPr>
        <w:t>”). By no later</w:t>
      </w:r>
    </w:p>
    <w:p>
      <w:pPr>
        <w:spacing w:after="0" w:line="5" w:lineRule="exact"/>
        <w:rPr>
          <w:sz w:val="20"/>
          <w:szCs w:val="20"/>
          <w:color w:val="auto"/>
        </w:rPr>
      </w:pPr>
    </w:p>
    <w:p>
      <w:pPr>
        <w:jc w:val="both"/>
        <w:ind w:left="180"/>
        <w:spacing w:after="0" w:line="236" w:lineRule="auto"/>
        <w:rPr>
          <w:sz w:val="20"/>
          <w:szCs w:val="20"/>
          <w:color w:val="auto"/>
        </w:rPr>
      </w:pPr>
      <w:r>
        <w:rPr>
          <w:rFonts w:ascii="Times New Roman" w:cs="Times New Roman" w:eastAsia="Times New Roman" w:hAnsi="Times New Roman"/>
          <w:sz w:val="18"/>
          <w:szCs w:val="18"/>
          <w:color w:val="auto"/>
        </w:rPr>
        <w:t>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the date the Company delivers such Financial Covenant Event Notice to the Holder, the Company shall also make publicly available (as part of a Quarterly Report on Form 10-Q, Annual Report on Form 10-K or on a Current Report on Form 8-K, or otherwise) the Financial Covenant Event Notice and the fact that an Event of Default has occurred under the Notes. If upon receipt of a Pre-Notice, the Holder elects not to receive any material non-public information, the Company shall have no obligation to deliver such Financial Covenant Event Notice to the Holder and the occurrence of such Financial Covenant Failure and the fact that an Event of Default has occurred under the Notes shall be publicly disclosed and disseminated at such time as required by the rules and regulations of the 1934 Act and the SEC.</w:t>
      </w:r>
    </w:p>
    <w:p>
      <w:pPr>
        <w:spacing w:after="0" w:line="201" w:lineRule="exact"/>
        <w:rPr>
          <w:sz w:val="20"/>
          <w:szCs w:val="20"/>
          <w:color w:val="auto"/>
        </w:rPr>
      </w:pPr>
    </w:p>
    <w:p>
      <w:pPr>
        <w:jc w:val="both"/>
        <w:ind w:left="-460" w:firstLine="644"/>
        <w:spacing w:after="0" w:line="266" w:lineRule="auto"/>
        <w:tabs>
          <w:tab w:leader="none" w:pos="4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PCAOB Registered Auditor</w:t>
      </w:r>
      <w:r>
        <w:rPr>
          <w:rFonts w:ascii="Times New Roman" w:cs="Times New Roman" w:eastAsia="Times New Roman" w:hAnsi="Times New Roman"/>
          <w:sz w:val="18"/>
          <w:szCs w:val="18"/>
          <w:color w:val="auto"/>
        </w:rPr>
        <w:t>. At all times any Notes remain outstanding, the Company shall have engaged an independent auditor to audit its financial statements that is registered with (and in compliance with the rules and regulations of) the Public Company Accounting Oversight Board.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8" w:name="page69"/>
    <w:bookmarkEnd w:id="68"/>
    <w:p>
      <w:pPr>
        <w:jc w:val="both"/>
        <w:ind w:left="-460" w:firstLine="644"/>
        <w:spacing w:after="0" w:line="254" w:lineRule="auto"/>
        <w:tabs>
          <w:tab w:leader="none" w:pos="4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9" w:name="page70"/>
    <w:bookmarkEnd w:id="69"/>
    <w:p>
      <w:pPr>
        <w:ind w:left="920" w:hanging="264"/>
        <w:spacing w:after="0"/>
        <w:tabs>
          <w:tab w:leader="none" w:pos="9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3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7"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and this Section 18, which may not be amended, modified or waived by the parties hereto, the prior written consent of the Required Holders shall be required for any change, waiver or amendment to this Note and any Other Notes. Any change, waiver or amendment so approved shall be binding upon all existing and future holders of this Note and any Other Notes; provided, however, that no such change, waiver or amendment, as applied to any of the Notes held by any particular holder of Notes, shall, without the written consent of that particular holder, disproportionally and adversely affect any rights under the Notes of any holder of Notes. In the event that the Company and the Required Holders amend the Notes, the Company shall provide written notice of such amendment, including a copy of the amendment and a summary of its material terms, to all other holders at or after 4:00 p.m. New York time on the same calendar day such amendment is made, and in no event later than the date immediately prior to the public disclosure of such amendment, whether by the filing of a Current Report on Form 8-K or by any other public announcement or filing by the Company.</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and any shares of Common Stock issued upon conversion of this Note may be offered, sold, assigned or transferred by the Holder without the consent of the Company, subject only to the provisions of Section 2(g) of the Securities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ind w:left="264" w:hanging="264"/>
        <w:spacing w:after="0"/>
        <w:tabs>
          <w:tab w:leader="none" w:pos="2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0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0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Make-Whole Amount and Interest of this Note, from the Issuance Date.</w:t>
      </w:r>
    </w:p>
    <w:p>
      <w:pPr>
        <w:spacing w:after="0" w:line="18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1" w:name="page72"/>
    <w:bookmarkEnd w:id="71"/>
    <w:p>
      <w:pPr>
        <w:jc w:val="both"/>
        <w:ind w:firstLine="656"/>
        <w:spacing w:after="0" w:line="252" w:lineRule="auto"/>
        <w:tabs>
          <w:tab w:leader="none" w:pos="9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reasonably requested by the Holder to enable the Holder to confirm the Company’s compliance with the terms and conditions of this Note (including, without limitation, compliance with Section 7).</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9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firstLine="656"/>
        <w:spacing w:after="0" w:line="261" w:lineRule="auto"/>
        <w:tabs>
          <w:tab w:leader="none" w:pos="9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66"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a Closing Bid Price, a Closing Sale Price, a Conversion Price, the Amortization Amount,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Amortization Amount, such Black Scholes Consideration Value, such VWAP or such fair market value, or the arithmetic calculation of such Conversion Rate or such</w:t>
      </w:r>
    </w:p>
    <w:p>
      <w:pPr>
        <w:spacing w:after="0" w:line="1" w:lineRule="exact"/>
        <w:rPr>
          <w:sz w:val="20"/>
          <w:szCs w:val="20"/>
          <w:color w:val="auto"/>
        </w:rPr>
      </w:pPr>
    </w:p>
    <w:p>
      <w:pPr>
        <w:jc w:val="both"/>
        <w:ind w:left="1300"/>
        <w:spacing w:after="0" w:line="227" w:lineRule="auto"/>
        <w:rPr>
          <w:sz w:val="20"/>
          <w:szCs w:val="20"/>
          <w:color w:val="auto"/>
        </w:rPr>
      </w:pPr>
      <w:r>
        <w:rPr>
          <w:rFonts w:ascii="Times New Roman" w:cs="Times New Roman" w:eastAsia="Times New Roman" w:hAnsi="Times New Roman"/>
          <w:sz w:val="18"/>
          <w:szCs w:val="18"/>
          <w:color w:val="auto"/>
        </w:rPr>
        <w:t>applicable Redemption Price (as the case may be), at any time after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subject to the approval of the Company (such approval not to be unreasonably withheld, conditioned or delayed), select an independent, reputable investment bank to resolve such dispute.</w:t>
      </w:r>
    </w:p>
    <w:p>
      <w:pPr>
        <w:spacing w:after="0" w:line="199" w:lineRule="exact"/>
        <w:rPr>
          <w:sz w:val="20"/>
          <w:szCs w:val="20"/>
          <w:color w:val="auto"/>
        </w:rPr>
      </w:pPr>
    </w:p>
    <w:p>
      <w:pPr>
        <w:jc w:val="both"/>
        <w:ind w:left="1300" w:firstLine="652"/>
        <w:spacing w:after="0" w:line="261" w:lineRule="auto"/>
        <w:tabs>
          <w:tab w:leader="none" w:pos="223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25 and (B) written documentation supporting its position with respect to</w:t>
      </w:r>
    </w:p>
    <w:p>
      <w:pPr>
        <w:jc w:val="both"/>
        <w:ind w:left="1300"/>
        <w:spacing w:after="0" w:line="241" w:lineRule="auto"/>
        <w:rPr>
          <w:sz w:val="20"/>
          <w:szCs w:val="20"/>
          <w:color w:val="auto"/>
        </w:rPr>
      </w:pPr>
      <w:r>
        <w:rPr>
          <w:rFonts w:ascii="Times New Roman" w:cs="Times New Roman" w:eastAsia="Times New Roman" w:hAnsi="Times New Roman"/>
          <w:sz w:val="18"/>
          <w:szCs w:val="18"/>
          <w:color w:val="auto"/>
        </w:rPr>
        <w:t>such dispute, in each case, no later than 5:00 p.m. (New York time)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left="644" w:firstLine="652"/>
        <w:spacing w:after="0" w:line="261" w:lineRule="auto"/>
        <w:tabs>
          <w:tab w:leader="none" w:pos="1619"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3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25 constitutes an agreement to arbitrate between the Company and the Holder (and constitutes an arbitration agreement) under the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each of the Holder and the Company is authorized to apply for an order to compel arbitration pursuant to CPLR § 7503(a) in order to compel compliance with this Section 25, (ii)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(iii) each of the Company and the Holder shall have the right to submit any dispute described in this Section 25 to any state or federal court sitting in The City of New York, Borough of Manhattan in lieu of utilizing the procedures set forth in this Section 25 and (iv) nothing in this Section 25 shall limit the Holder or the Company from obtaining any injunctive relief or other equitable remedies (including, without limitation, with respect to any matters described in this Section 25).</w:t>
      </w:r>
    </w:p>
    <w:p>
      <w:pPr>
        <w:spacing w:after="0" w:line="18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1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4" w:name="page75"/>
    <w:bookmarkEnd w:id="74"/>
    <w:p>
      <w:pPr>
        <w:jc w:val="both"/>
        <w:ind w:left="660" w:firstLine="644"/>
        <w:spacing w:after="0" w:line="257" w:lineRule="auto"/>
        <w:tabs>
          <w:tab w:leader="none" w:pos="156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86"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(except to the extent such amount is simultaneously accruing Interest at the Default Rate hereunder) shall result in a late charge being incurred and payable by the Company in an amount equal to interest on such amount at the rate of thirteen percent (13%)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all Outstanding Value and other amounts at any time owed on this Note or any other Transaction Documents have been paid in full, this Note shall automatically be deemed canceled, shall be surrendered to the Company for cancellation and shall not be reissued.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both"/>
        <w:ind w:firstLine="656"/>
        <w:spacing w:after="0" w:line="252" w:lineRule="auto"/>
        <w:tabs>
          <w:tab w:leader="none" w:pos="93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provision or rule (whether of the State of New York or any other jurisdictions) that would cause the application of the laws of any jurisdictions other than the State of New York. Except as otherwise required by Section 25 above,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or to enforce a judgment or other court ruling in favor of the Holder or (ii) shall limit, or shall be deemed or construed to limit, any provision of Section 25. </w:t>
      </w:r>
      <w:r>
        <w:rPr>
          <w:rFonts w:ascii="Times New Roman" w:cs="Times New Roman" w:eastAsia="Times New Roman" w:hAnsi="Times New Roman"/>
          <w:sz w:val="18"/>
          <w:szCs w:val="18"/>
          <w:b w:val="1"/>
          <w:bCs w:val="1"/>
          <w:color w:val="auto"/>
        </w:rPr>
        <w:t>THE COMPANY HEREBY IRREVOCABLY WAIVES ANY RIGHT IT MAY</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HAVE TO, AND AGREES NOT TO REQUEST, A JURY TRIAL FOR THE ADJUDICATION OF ANY DISPUTE HEREUNDER OR IN CONNECTION WITH OR ARISING OUT OF THIS NOTE OR ANY TRANSACTION CONTEMPLATED HEREBY.</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Note, the conversion shall be made at the Exchange Rate prevailing on the Trading Day immediately preceding:</w:t>
      </w:r>
    </w:p>
    <w:p>
      <w:pPr>
        <w:spacing w:after="0" w:line="175" w:lineRule="exact"/>
        <w:rPr>
          <w:rFonts w:ascii="Times New Roman" w:cs="Times New Roman" w:eastAsia="Times New Roman" w:hAnsi="Times New Roman"/>
          <w:sz w:val="18"/>
          <w:szCs w:val="18"/>
          <w:color w:val="auto"/>
        </w:rPr>
      </w:pPr>
    </w:p>
    <w:p>
      <w:pPr>
        <w:ind w:left="980" w:firstLine="972"/>
        <w:spacing w:after="0" w:line="282" w:lineRule="auto"/>
        <w:tabs>
          <w:tab w:leader="none" w:pos="217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New York or in the courts of any other jurisdiction that will give effect to such conversion being made on such date: or</w:t>
      </w:r>
    </w:p>
    <w:p>
      <w:pPr>
        <w:spacing w:after="0" w:line="161" w:lineRule="exact"/>
        <w:rPr>
          <w:rFonts w:ascii="Times New Roman" w:cs="Times New Roman" w:eastAsia="Times New Roman" w:hAnsi="Times New Roman"/>
          <w:sz w:val="18"/>
          <w:szCs w:val="18"/>
          <w:color w:val="auto"/>
        </w:rPr>
      </w:pPr>
    </w:p>
    <w:p>
      <w:pPr>
        <w:ind w:left="980" w:firstLine="972"/>
        <w:spacing w:after="0" w:line="282" w:lineRule="auto"/>
        <w:tabs>
          <w:tab w:leader="none" w:pos="2221"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30(a)(ii) being hereinafter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6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Note.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ind w:firstLine="656"/>
        <w:spacing w:after="0" w:line="254" w:lineRule="auto"/>
        <w:tabs>
          <w:tab w:leader="none" w:pos="9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Note,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5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9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38" w:lineRule="auto"/>
        <w:tabs>
          <w:tab w:leader="none" w:pos="155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Amount</w:t>
      </w:r>
      <w:r>
        <w:rPr>
          <w:rFonts w:ascii="Times New Roman" w:cs="Times New Roman" w:eastAsia="Times New Roman" w:hAnsi="Times New Roman"/>
          <w:sz w:val="18"/>
          <w:szCs w:val="18"/>
          <w:color w:val="auto"/>
        </w:rPr>
        <w:t>” means the sum of (A) the lesser of (x) $[__]</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and (y) the Outstanding Principal Value then outstanding as of such Amortization Date (subject to reduction with respect to any Deferral to any later date), (B) any Deferral Amount previously deferred to, and included in, such Amortization Amount in accordance herewith, (C) any Make-Whole Amount as of such Amortization Date with respect to such Outstanding Principal Value, (D) the sum of any accrued and unpaid Interest as of such Amortization Date with respect to such Outstanding Principal Value, (E) any accrued and unpaid Late Charges, if any, under this Note as of such Amortization Date with respect to such Outstanding Principal Value, Make-Whole Amount and/or Interest, as applicable, and (F) any other unpaid amounts pursuant to the Transaction Documents, if any, due or overdue as of such Amortization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83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3" w:lineRule="exact"/>
        <w:rPr>
          <w:sz w:val="20"/>
          <w:szCs w:val="20"/>
          <w:color w:val="auto"/>
        </w:rPr>
      </w:pPr>
    </w:p>
    <w:p>
      <w:pPr>
        <w:ind w:left="120" w:hanging="112"/>
        <w:spacing w:after="0"/>
        <w:tabs>
          <w:tab w:leader="none" w:pos="120" w:val="left"/>
        </w:tabs>
        <w:numPr>
          <w:ilvl w:val="0"/>
          <w:numId w:val="1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initial Outstanding Principal Value of this Note.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ind w:left="-460" w:firstLine="644"/>
        <w:spacing w:after="0" w:line="268" w:lineRule="auto"/>
        <w:tabs>
          <w:tab w:leader="none" w:pos="41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Subscription Date pursuant to which shares of Common Stock and standard options to purchase Common Stock may be issued to any employee, officer or director for services provided to the Company in their capacity as such.</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with respect to any date of determination, an amount equal to the aggregate amount of the unrestricted Cash of the Company and its Subsidiaries as of such date of determination held in bank accounts of financial banking institutions in the United States of America.</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8" w:name="page79"/>
    <w:bookmarkEnd w:id="78"/>
    <w:p>
      <w:pPr>
        <w:ind w:left="400" w:hanging="216"/>
        <w:spacing w:after="0"/>
        <w:tabs>
          <w:tab w:leader="none" w:pos="4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9" w:lineRule="auto"/>
        <w:tabs>
          <w:tab w:leader="none" w:pos="44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jc w:val="both"/>
        <w:ind w:left="-460" w:right="20" w:firstLine="644"/>
        <w:spacing w:after="0" w:line="268" w:lineRule="auto"/>
        <w:tabs>
          <w:tab w:leader="none" w:pos="40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of the Company and its Subsidiaries on any date shall be determined from such Persons’ books maintained in accordance with GAAP, and means, without duplication, the cash, cash equivalents and Eligible Marketable Securities accrued by the Company and its wholly owned Subsidiaries on a consolidated basis on such date.</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a merger in connection with a bona fide acquisition by the Company of any Person in which (x) the gross consideration paid, directly or indirectly, by the Company in such acquisition is not equal to or greater than 20% of the Company’s market capitalization as calculated on the date of the announcement of such merger and the date of the consummation of such merger, (y) such merger does not contemplate a change to the identity of a majority of the board of directors of the Company and (z) holders of the Company’s voting power immediately prior to such merger and/or acquisition continue after such merger and/or acquisition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merger and/or acquisition.</w:t>
      </w:r>
    </w:p>
    <w:p>
      <w:pPr>
        <w:spacing w:after="0" w:line="183"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Redemption Premium</w:t>
      </w:r>
      <w:r>
        <w:rPr>
          <w:rFonts w:ascii="Times New Roman" w:cs="Times New Roman" w:eastAsia="Times New Roman" w:hAnsi="Times New Roman"/>
          <w:sz w:val="18"/>
          <w:szCs w:val="18"/>
          <w:color w:val="auto"/>
        </w:rPr>
        <w:t>” means 110%.</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9" w:name="page80"/>
    <w:bookmarkEnd w:id="79"/>
    <w:p>
      <w:pPr>
        <w:jc w:val="both"/>
        <w:ind w:left="-460" w:firstLine="644"/>
        <w:spacing w:after="0" w:line="253" w:lineRule="auto"/>
        <w:tabs>
          <w:tab w:leader="none" w:pos="4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p>
    <w:p>
      <w:pPr>
        <w:spacing w:after="0" w:line="183" w:lineRule="exact"/>
        <w:rPr>
          <w:rFonts w:ascii="Times New Roman" w:cs="Times New Roman" w:eastAsia="Times New Roman" w:hAnsi="Times New Roman"/>
          <w:sz w:val="18"/>
          <w:szCs w:val="18"/>
          <w:color w:val="auto"/>
        </w:rPr>
      </w:pPr>
    </w:p>
    <w:p>
      <w:pPr>
        <w:ind w:left="-460" w:firstLine="644"/>
        <w:spacing w:after="0" w:line="286" w:lineRule="auto"/>
        <w:tabs>
          <w:tab w:leader="none" w:pos="4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5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1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Subsidiary</w:t>
      </w:r>
      <w:r>
        <w:rPr>
          <w:rFonts w:ascii="Times New Roman" w:cs="Times New Roman" w:eastAsia="Times New Roman" w:hAnsi="Times New Roman"/>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Current Subsidiaries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means thirteen percent (13%) per annum.</w:t>
      </w:r>
    </w:p>
    <w:p>
      <w:pPr>
        <w:spacing w:after="0" w:line="225" w:lineRule="exact"/>
        <w:rPr>
          <w:rFonts w:ascii="Times New Roman" w:cs="Times New Roman" w:eastAsia="Times New Roman" w:hAnsi="Times New Roman"/>
          <w:sz w:val="18"/>
          <w:szCs w:val="18"/>
          <w:color w:val="auto"/>
        </w:rPr>
      </w:pPr>
    </w:p>
    <w:p>
      <w:pPr>
        <w:ind w:left="-460" w:firstLine="644"/>
        <w:spacing w:after="0" w:line="286" w:lineRule="auto"/>
        <w:tabs>
          <w:tab w:leader="none" w:pos="40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Nasdaq Capital Market.</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5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Marketable Securities</w:t>
      </w:r>
      <w:r>
        <w:rPr>
          <w:rFonts w:ascii="Times New Roman" w:cs="Times New Roman" w:eastAsia="Times New Roman" w:hAnsi="Times New Roman"/>
          <w:sz w:val="18"/>
          <w:szCs w:val="18"/>
          <w:color w:val="auto"/>
        </w:rPr>
        <w:t>” as of any date means marketable securities which would be reflected on a consolidated balance sheet of the Company and its Subsidiaries prepared as of such date in accordance with GAAP, and which are permitted under the Company’s investment policies as in effect on the Issuance Date or approved thereafter by the Company’s Board of Directors.</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80" w:name="page81"/>
    <w:bookmarkEnd w:id="80"/>
    <w:p>
      <w:pPr>
        <w:ind w:left="904" w:hanging="256"/>
        <w:spacing w:after="0"/>
        <w:tabs>
          <w:tab w:leader="none" w:pos="90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1"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7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20%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any shares of Common Stock issued or issuable in connection with any bona fide strategic or commercial alliances, acquisitions, mergers, licensing arrangements, and strategic partnerships, provided, that (x) the primary purpose of such issuance is not to raise capital as reasonably determined, and (y) the purchaser or acquirer or recipient of the securities in such issuance solely consists of either (I) the actual participants in such strategic or commercial alliance, strategic or commercial licensing arrangement or strategic or commercial partnership,</w:t>
      </w:r>
    </w:p>
    <w:p>
      <w:pPr>
        <w:spacing w:after="0" w:line="12"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9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(IV)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(v) shares of Common Stock issued pursuant to a Permitted ELOC with the Lead Investor (or any of its affiliates) or a Permitted ATM with any Person.</w:t>
      </w:r>
    </w:p>
    <w:p>
      <w:pPr>
        <w:spacing w:after="0" w:line="1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81" w:name="page82"/>
    <w:bookmarkEnd w:id="81"/>
    <w:p>
      <w:pPr>
        <w:ind w:firstLine="644"/>
        <w:spacing w:after="0" w:line="286" w:lineRule="auto"/>
        <w:tabs>
          <w:tab w:leader="none" w:pos="90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of the fiscal quarters adopted by the Company for financial reporting purposes that correspond to the Company’s fiscal year as of the date hereof that ends on April 30.</w:t>
      </w:r>
    </w:p>
    <w:p>
      <w:pPr>
        <w:spacing w:after="0" w:line="154"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adopted by the Company for financial reporting purposes as of the date hereof that ends on April</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2" w:lineRule="exact"/>
        <w:rPr>
          <w:rFonts w:ascii="Times New Roman" w:cs="Times New Roman" w:eastAsia="Times New Roman" w:hAnsi="Times New Roman"/>
          <w:sz w:val="18"/>
          <w:szCs w:val="18"/>
          <w:color w:val="auto"/>
        </w:rPr>
      </w:pPr>
    </w:p>
    <w:p>
      <w:pPr>
        <w:jc w:val="both"/>
        <w:ind w:firstLine="644"/>
        <w:spacing w:after="0" w:line="251" w:lineRule="auto"/>
        <w:tabs>
          <w:tab w:leader="none" w:pos="9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82" w:name="page83"/>
    <w:bookmarkEnd w:id="82"/>
    <w:p>
      <w:pPr>
        <w:ind w:left="960" w:hanging="316"/>
        <w:spacing w:after="0"/>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980" w:hanging="336"/>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jc w:val="both"/>
        <w:ind w:firstLine="644"/>
        <w:spacing w:after="0" w:line="268" w:lineRule="auto"/>
        <w:tabs>
          <w:tab w:leader="none" w:pos="9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Pro Rata Amount</w:t>
      </w:r>
      <w:r>
        <w:rPr>
          <w:rFonts w:ascii="Times New Roman" w:cs="Times New Roman" w:eastAsia="Times New Roman" w:hAnsi="Times New Roman"/>
          <w:sz w:val="18"/>
          <w:szCs w:val="18"/>
          <w:color w:val="auto"/>
        </w:rPr>
        <w:t>” means a fraction (i) the numerator of which is the original Principal amount of this Note on the Closing Date and (ii) the denominator of which is the aggregate original principal amount of all Notes issued to the initial purchasers pursuant to the Securities Purchase Agreement on the Closing Date.</w:t>
      </w:r>
    </w:p>
    <w:p>
      <w:pPr>
        <w:spacing w:after="0" w:line="170" w:lineRule="exact"/>
        <w:rPr>
          <w:rFonts w:ascii="Times New Roman" w:cs="Times New Roman" w:eastAsia="Times New Roman" w:hAnsi="Times New Roman"/>
          <w:sz w:val="18"/>
          <w:szCs w:val="18"/>
          <w:color w:val="auto"/>
        </w:rPr>
      </w:pPr>
    </w:p>
    <w:p>
      <w:pPr>
        <w:ind w:left="980" w:hanging="336"/>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ind w:firstLine="644"/>
        <w:spacing w:after="0" w:line="286" w:lineRule="auto"/>
        <w:tabs>
          <w:tab w:leader="none" w:pos="9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the Securities Purchase Agreement, which date is the date the Company initially issued Notes pursuant to the terms of the Securities Purchase Agreement.</w:t>
      </w:r>
    </w:p>
    <w:p>
      <w:pPr>
        <w:spacing w:after="0" w:line="154"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with respect to any given calendar month, the first Trading Day of such calendar month.</w:t>
      </w:r>
    </w:p>
    <w:p>
      <w:pPr>
        <w:spacing w:after="0" w:line="225"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four and a half percent (4.5%) per annum, subject to adjustment from time to time in accordance with</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w:t>
      </w:r>
    </w:p>
    <w:p>
      <w:pPr>
        <w:spacing w:after="0" w:line="202" w:lineRule="exact"/>
        <w:rPr>
          <w:rFonts w:ascii="Times New Roman" w:cs="Times New Roman" w:eastAsia="Times New Roman" w:hAnsi="Times New Roman"/>
          <w:sz w:val="18"/>
          <w:szCs w:val="18"/>
          <w:color w:val="auto"/>
        </w:rPr>
      </w:pPr>
    </w:p>
    <w:p>
      <w:pPr>
        <w:jc w:val="both"/>
        <w:ind w:firstLine="644"/>
        <w:spacing w:after="0" w:line="268"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170"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Investor</w:t>
      </w:r>
      <w:r>
        <w:rPr>
          <w:rFonts w:ascii="Times New Roman" w:cs="Times New Roman" w:eastAsia="Times New Roman" w:hAnsi="Times New Roman"/>
          <w:sz w:val="18"/>
          <w:szCs w:val="18"/>
          <w:color w:val="auto"/>
        </w:rPr>
        <w:t>” shall have the meaning as set forth in the Securities Purchase Agreement.</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83" w:name="page84"/>
    <w:bookmarkEnd w:id="83"/>
    <w:p>
      <w:pPr>
        <w:jc w:val="both"/>
        <w:ind w:left="660" w:firstLine="644"/>
        <w:spacing w:after="0" w:line="262" w:lineRule="auto"/>
        <w:tabs>
          <w:tab w:leader="none" w:pos="158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as of any given date and as applicable, in connection with any conversion, redemption or other repayment hereunder, an amount equal to the amount of additional Interest that would accrue under this Note at the Interest Rate then in effect assuming for calculation purposes that the Outstanding Principal Value of this Note as of the Closing Date remained outstanding through and including the Maturity Date.</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6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 Earnout</w:t>
      </w:r>
      <w:r>
        <w:rPr>
          <w:rFonts w:ascii="Times New Roman" w:cs="Times New Roman" w:eastAsia="Times New Roman" w:hAnsi="Times New Roman"/>
          <w:sz w:val="18"/>
          <w:szCs w:val="18"/>
          <w:color w:val="auto"/>
        </w:rPr>
        <w:t>” means the “Earnout Payment” in the amount of $150,000 under and as defined in that certain Stock Purchase Agreement dated as of November 15, 2021, by and among the company and the equityholders of Marine Advanced Robotics, Inc.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which is payable by the Company to the Sellers.</w:t>
      </w:r>
    </w:p>
    <w:p>
      <w:pPr>
        <w:spacing w:after="0" w:line="178" w:lineRule="exact"/>
        <w:rPr>
          <w:rFonts w:ascii="Times New Roman" w:cs="Times New Roman" w:eastAsia="Times New Roman" w:hAnsi="Times New Roman"/>
          <w:sz w:val="18"/>
          <w:szCs w:val="18"/>
          <w:color w:val="auto"/>
        </w:rPr>
      </w:pPr>
    </w:p>
    <w:p>
      <w:pPr>
        <w:jc w:val="both"/>
        <w:ind w:left="660" w:firstLine="644"/>
        <w:spacing w:after="0"/>
        <w:tabs>
          <w:tab w:leader="none" w:pos="16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[______]</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provided, however, (i) the Maturity Date may be extended at the option of the Holder through the date that is twenty (20) Business Days after the consummation of a Fundamental Transaction in the event that a Fundamental Transaction is publicly announced or a Change of Control Notice is delivered prior to the Maturity Date or (ii) the Maturity Date may be extended by mutual written consent of the Holder and the Company in the event that, and for so long as, an Event of Default shall have occurred and be continuing or any event shall have occurred and be continuing that with the passage of time and the failure to cure would result in an Event of Default,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7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New Subsidiaries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ind w:left="660" w:firstLine="644"/>
        <w:spacing w:after="0" w:line="286" w:lineRule="auto"/>
        <w:tabs>
          <w:tab w:leader="none" w:pos="16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Principal Value</w:t>
      </w:r>
      <w:r>
        <w:rPr>
          <w:rFonts w:ascii="Times New Roman" w:cs="Times New Roman" w:eastAsia="Times New Roman" w:hAnsi="Times New Roman"/>
          <w:sz w:val="18"/>
          <w:szCs w:val="18"/>
          <w:color w:val="auto"/>
        </w:rPr>
        <w:t>” means as of any time of determination, 113% of all outstanding Principal of this Note as of such time of determination.</w:t>
      </w:r>
    </w:p>
    <w:p>
      <w:pPr>
        <w:spacing w:after="0" w:line="154"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6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Value</w:t>
      </w:r>
      <w:r>
        <w:rPr>
          <w:rFonts w:ascii="Times New Roman" w:cs="Times New Roman" w:eastAsia="Times New Roman" w:hAnsi="Times New Roman"/>
          <w:sz w:val="18"/>
          <w:szCs w:val="18"/>
          <w:color w:val="auto"/>
        </w:rPr>
        <w:t>” means, as of any time of determination, the sum of (i) the Outstanding Principal Value of this Note, (ii) accrued and unpaid Interest, (iii) Make-Whole Amount, (iv) accrued and unpaid Late Charges (as defined in Section 26(c)) on such Outstanding Principal Value, Make-Whole Amount and Interest, in each case, as of such time of determination and (iv) any other unpaid amounts pursuant to the Transaction Documents, if any.</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6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1" w:lineRule="exact"/>
        <w:rPr>
          <w:sz w:val="20"/>
          <w:szCs w:val="20"/>
          <w:color w:val="auto"/>
        </w:rPr>
      </w:pPr>
    </w:p>
    <w:p>
      <w:pPr>
        <w:ind w:left="120" w:hanging="112"/>
        <w:spacing w:after="0"/>
        <w:tabs>
          <w:tab w:leader="none" w:pos="120" w:val="left"/>
        </w:tabs>
        <w:numPr>
          <w:ilvl w:val="0"/>
          <w:numId w:val="1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18-month anniversary of the Issuance Date.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ind w:left="924" w:hanging="276"/>
        <w:spacing w:after="0"/>
        <w:tabs>
          <w:tab w:leader="none" w:pos="92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ATM</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ELOC</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xml:space="preserve">” means (i) Indebtedness evidenced by this Note and the Other Notes, (ii) Indebtedness set forth on </w:t>
      </w:r>
      <w:r>
        <w:rPr>
          <w:rFonts w:ascii="Times New Roman" w:cs="Times New Roman" w:eastAsia="Times New Roman" w:hAnsi="Times New Roman"/>
          <w:sz w:val="18"/>
          <w:szCs w:val="18"/>
          <w:u w:val="single" w:color="auto"/>
          <w:color w:val="auto"/>
        </w:rPr>
        <w:t>Schedule 3(s)</w:t>
      </w:r>
      <w:r>
        <w:rPr>
          <w:rFonts w:ascii="Times New Roman" w:cs="Times New Roman" w:eastAsia="Times New Roman" w:hAnsi="Times New Roman"/>
          <w:sz w:val="18"/>
          <w:szCs w:val="18"/>
          <w:color w:val="auto"/>
        </w:rPr>
        <w:t xml:space="preserve"> to the Securities Purchase Agreement, as in effect as of the Subscription Date, (iii) Indebtedness secured by Permitted Liens or unsecured but as described in clauses (iv) and (v) of the definition of Permitted Lien, (iv) capital lease obligations incurred in the ordinary course of business, and any extensions, renewals and refinancings thereof, which, in the aggregate, do not exceed $1,000,000 outstanding at any time, (v) the MAR Earnout, (vi) obligations related to letters of credit, which, in the aggregate, do not exceed $300,000 outstanding at any time, (vii) Indebtedness in respect of performance and surety bonds and other obligations of a like nature provided by the Company in the ordinary course of business and required by applicable law in an aggregate amount not to exceed $500,000, (viii) deferred purchase price obligations in an aggregate amount not to exceed $20,000,000 in the form of earnouts and other similar contingent obligations and seller debt, in each case, incurred in connection with an acquisition of all or substantially all of a person’s assets or equity securities, provided that each obligation is subordinated to this Note pursuant to a subordination agreement reasonably acceptable to Holder and, with respect to any seller note obligation, the maturity date of such seller note is after the Maturity Date, (ix) Permitted Subordinated Indebtedness, and (x) other unsecured Indebtedness in an aggregate amount not to exceed $200,000 at any time outstanding.</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9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 (i)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(ii) investments in commercial paper maturing within 270 days from the date of acquisition thereof and having, at such date of acquisition, the highest credit rating obtainable from S&amp;P or from Moody’s; (iii)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 (iv) fully collateralized repurchase agreements with a term of not more than 30 days for securities described in clause (i) above and entered into with a financial institution satisfying the criteria described in clause (iii) above; and (v) money market funds that (x) comply with the criteria set forth in Securities and Exchange Commission Rule 2a-7 under the Investment Company Act of 1940, (y) are rated AAA by S&amp;P and Aaa by Moody’s and</w:t>
      </w:r>
    </w:p>
    <w:p>
      <w:pPr>
        <w:ind w:left="244" w:hanging="244"/>
        <w:spacing w:after="0"/>
        <w:tabs>
          <w:tab w:leader="none" w:pos="2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portfolio assets of at least $5,000,000,000.</w:t>
      </w:r>
    </w:p>
    <w:p>
      <w:pPr>
        <w:spacing w:after="0" w:line="20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85" w:name="page86"/>
    <w:bookmarkEnd w:id="85"/>
    <w:p>
      <w:pPr>
        <w:jc w:val="both"/>
        <w:ind w:left="4" w:firstLine="644"/>
        <w:spacing w:after="0" w:line="252" w:lineRule="auto"/>
        <w:tabs>
          <w:tab w:leader="none" w:pos="103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inventory or vehicle acquired or held by the Company or any of its Subsidiaries to secure the purchase price of such equipment, inventory or vehicle or Indebtedness incurred solely for the purpose of financing the acquisition or lease of such equipment, inventory or vehicle, as applicable, or (B) existing on such equipment, inventory or vehicle at the time of its acquisition, provided that the Lien is confined solely to the property so acquired and improvements thereon, and the proceeds of such equipment, inventory or vehicle, in either case, with respect to Indebtedness in an aggregate principal amount not to exceed $11,000,000,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w:t>
      </w:r>
    </w:p>
    <w:p>
      <w:pPr>
        <w:spacing w:after="0" w:line="6"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payments of custom duties in connection with the importation of goods, and (vii) Liens arising from judgments, decrees or attachments in circumstances not constituting an Event of Default under Section 4(a)(ix).</w:t>
      </w:r>
    </w:p>
    <w:p>
      <w:pPr>
        <w:spacing w:after="0" w:line="181" w:lineRule="exact"/>
        <w:rPr>
          <w:rFonts w:ascii="Times New Roman" w:cs="Times New Roman" w:eastAsia="Times New Roman" w:hAnsi="Times New Roman"/>
          <w:sz w:val="18"/>
          <w:szCs w:val="18"/>
          <w:color w:val="auto"/>
        </w:rPr>
      </w:pPr>
    </w:p>
    <w:p>
      <w:pPr>
        <w:ind w:left="4" w:right="20" w:firstLine="644"/>
        <w:spacing w:after="0" w:line="286" w:lineRule="auto"/>
        <w:tabs>
          <w:tab w:leader="none" w:pos="107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Payments</w:t>
      </w:r>
      <w:r>
        <w:rPr>
          <w:rFonts w:ascii="Times New Roman" w:cs="Times New Roman" w:eastAsia="Times New Roman" w:hAnsi="Times New Roman"/>
          <w:sz w:val="18"/>
          <w:szCs w:val="18"/>
          <w:color w:val="auto"/>
        </w:rPr>
        <w:t xml:space="preserve">” means Indebtedness set forth on </w:t>
      </w:r>
      <w:r>
        <w:rPr>
          <w:rFonts w:ascii="Times New Roman" w:cs="Times New Roman" w:eastAsia="Times New Roman" w:hAnsi="Times New Roman"/>
          <w:sz w:val="18"/>
          <w:szCs w:val="18"/>
          <w:u w:val="single" w:color="auto"/>
          <w:color w:val="auto"/>
        </w:rPr>
        <w:t>Schedule 3(s)</w:t>
      </w:r>
      <w:r>
        <w:rPr>
          <w:rFonts w:ascii="Times New Roman" w:cs="Times New Roman" w:eastAsia="Times New Roman" w:hAnsi="Times New Roman"/>
          <w:sz w:val="18"/>
          <w:szCs w:val="18"/>
          <w:color w:val="auto"/>
        </w:rPr>
        <w:t xml:space="preserve"> to the Securities Purchase Agreement, as in effect as of the Subscription Date.</w:t>
      </w:r>
    </w:p>
    <w:p>
      <w:pPr>
        <w:spacing w:after="0" w:line="154"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03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Subordinated Indebtedness</w:t>
      </w:r>
      <w:r>
        <w:rPr>
          <w:rFonts w:ascii="Times New Roman" w:cs="Times New Roman" w:eastAsia="Times New Roman" w:hAnsi="Times New Roman"/>
          <w:sz w:val="18"/>
          <w:szCs w:val="18"/>
          <w:color w:val="auto"/>
        </w:rPr>
        <w:t>” means unsecured Indebtedness (other than Convertible Securities) incurred by the Company or any Subsidiary that is made expressly subordinate in right of payment to the Indebtedness evidenced by this Note, as reflected in a written agreement reasonably acceptable to the Holder, which does not include any equity or equity-linked features or the issuance or transfer of any securities (including, with limitation, any Options or the right to convert, exchange or otherwise satisfy the payment of such Indebtedness with any equity security of the Company or any of its Subsidiaries) and which Indebtedness does not provide at any time for (1) the payment, prepayment, repayment, repurchase or defeasance, directly or indirectly, of any principal or premium, if any, thereon until at least ninety-one (91) days after the Maturity Date and (2) total interest and fees at a rate in excess of 12% per annum.</w:t>
      </w:r>
    </w:p>
    <w:p>
      <w:pPr>
        <w:spacing w:after="0" w:line="182" w:lineRule="exact"/>
        <w:rPr>
          <w:rFonts w:ascii="Times New Roman" w:cs="Times New Roman" w:eastAsia="Times New Roman" w:hAnsi="Times New Roman"/>
          <w:sz w:val="18"/>
          <w:szCs w:val="18"/>
          <w:color w:val="auto"/>
        </w:rPr>
      </w:pPr>
    </w:p>
    <w:p>
      <w:pPr>
        <w:ind w:left="4" w:firstLine="644"/>
        <w:spacing w:after="0" w:line="286" w:lineRule="auto"/>
        <w:tabs>
          <w:tab w:leader="none" w:pos="101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NYSE American.</w:t>
      </w:r>
    </w:p>
    <w:p>
      <w:pPr>
        <w:spacing w:after="0" w:line="22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86" w:name="page87"/>
    <w:bookmarkEnd w:id="86"/>
    <w:p>
      <w:pPr>
        <w:ind w:left="-460" w:firstLine="644"/>
        <w:spacing w:after="0" w:line="286" w:lineRule="auto"/>
        <w:tabs>
          <w:tab w:leader="none" w:pos="63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means any Event of Default Redemption Date, Amortization Date with respect to any Amortization, Subsequent Placement Optional Redemption Date and/or Change of Control Redemption Date, as applicable.</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6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Event of Default Redemption Notices, the Amortization Notices with respect to any Amortization, the Subsequent Placement Optional Redemption Notices and the Change of Control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Premium</w:t>
      </w:r>
      <w:r>
        <w:rPr>
          <w:rFonts w:ascii="Times New Roman" w:cs="Times New Roman" w:eastAsia="Times New Roman" w:hAnsi="Times New Roman"/>
          <w:sz w:val="18"/>
          <w:szCs w:val="18"/>
          <w:color w:val="auto"/>
        </w:rPr>
        <w:t>” means 115%.</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6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Event of Default Redemption Prices, the Change of Control Redemption Prices, the Amortization Redemption Prices, and the Subsequent Placement Optional Redemption Prices, and each of the foregoing, individually,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Value</w:t>
      </w:r>
      <w:r>
        <w:rPr>
          <w:rFonts w:ascii="Times New Roman" w:cs="Times New Roman" w:eastAsia="Times New Roman" w:hAnsi="Times New Roman"/>
          <w:sz w:val="18"/>
          <w:szCs w:val="18"/>
          <w:color w:val="auto"/>
        </w:rPr>
        <w:t>” means 113%.</w:t>
      </w:r>
    </w:p>
    <w:p>
      <w:pPr>
        <w:spacing w:after="0" w:line="225"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460" w:firstLine="644"/>
        <w:spacing w:after="0" w:line="286" w:lineRule="auto"/>
        <w:tabs>
          <w:tab w:leader="none" w:pos="6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the Subscription Date, by and among the Company and the initial holders of the Notes pursuant to which the Company issued the Notes, as may be amended from time to time.</w:t>
      </w:r>
    </w:p>
    <w:p>
      <w:pPr>
        <w:spacing w:after="0" w:line="154"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means [____].</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9" w:lineRule="auto"/>
        <w:tabs>
          <w:tab w:leader="none" w:pos="5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means any direct or indirect issuance, offer, sale, grant of any option or right to purchase, or otherwise dispose of (or announce any issuance, offer, sale, grant of any option or right to purchase or other disposition of) by the Company and/or any of its Subsidiaries of any equity security and/or any equity-linked and/or related security (including, without limitation, any “equity security” (as that term is defined under Rule 405 promulgated under the 1933 Act), any Convertible Securities, any Options, any debt, any preferred stock and/or any purchase rights).</w:t>
      </w:r>
    </w:p>
    <w:p>
      <w:pPr>
        <w:spacing w:after="0" w:line="179" w:lineRule="exact"/>
        <w:rPr>
          <w:rFonts w:ascii="Times New Roman" w:cs="Times New Roman" w:eastAsia="Times New Roman" w:hAnsi="Times New Roman"/>
          <w:sz w:val="18"/>
          <w:szCs w:val="18"/>
          <w:color w:val="auto"/>
        </w:rPr>
      </w:pPr>
    </w:p>
    <w:p>
      <w:pPr>
        <w:ind w:left="-460" w:firstLine="644"/>
        <w:spacing w:after="0" w:line="286" w:lineRule="auto"/>
        <w:tabs>
          <w:tab w:leader="none" w:pos="62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as of any date of determination, collectively, all Current Subsidiaries and all New Subsidiaries, and each of the foregoing, individually,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5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87" w:name="page88"/>
    <w:bookmarkEnd w:id="87"/>
    <w:p>
      <w:pPr>
        <w:jc w:val="both"/>
        <w:ind w:left="660" w:firstLine="644"/>
        <w:spacing w:after="0" w:line="254" w:lineRule="auto"/>
        <w:tabs>
          <w:tab w:leader="none" w:pos="190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75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4(i) of the Securities Purchase Agreement.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duly executed as of the Issuance Date set out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Senior Convertible Note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Series [C-[ ]] Senior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Ocean Power Technologies,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 ]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Conversion Notice shall constitute a representation by the Holder of the Note submitting this Conversion Notice that, after giving effect to the conversion provided in this Conversion Notice, such Holder (together with the other Attribution Parties) will not have beneficial ownership of a number of shares of Common Stock in excess of the Maximum Percentage of the total outstanding shares of Common Stock of the Company as determined pursuant to the provisions of Section 3(d)(i) of the Note.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Principal to be converted: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accrued and unpaid Interest, Make-Whole Amount</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and accrued and unpaid Late Charges with respect to such</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portion of the Aggregate Principal, such Make Whole Amount</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and such Aggregate Interest to be converted:</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225" w:lineRule="exact"/>
        <w:rPr>
          <w:sz w:val="20"/>
          <w:szCs w:val="20"/>
          <w:color w:val="auto"/>
        </w:rPr>
      </w:pPr>
    </w:p>
    <w:p>
      <w:pPr>
        <w:ind w:left="580" w:right="2860" w:hanging="5"/>
        <w:spacing w:after="0" w:line="477" w:lineRule="auto"/>
        <w:tabs>
          <w:tab w:leader="none" w:pos="1147" w:val="left"/>
        </w:tabs>
        <w:numPr>
          <w:ilvl w:val="0"/>
          <w:numId w:val="1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41" w:lineRule="exact"/>
        <w:rPr>
          <w:rFonts w:ascii="MS PGothic" w:cs="MS PGothic" w:eastAsia="MS PGothic" w:hAnsi="MS PGothic"/>
          <w:sz w:val="18"/>
          <w:szCs w:val="18"/>
          <w:color w:val="auto"/>
        </w:rPr>
      </w:pPr>
    </w:p>
    <w:p>
      <w:pPr>
        <w:ind w:left="1140" w:hanging="565"/>
        <w:spacing w:after="0"/>
        <w:tabs>
          <w:tab w:leader="none" w:pos="1140" w:val="left"/>
        </w:tabs>
        <w:numPr>
          <w:ilvl w:val="0"/>
          <w:numId w:val="1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DTC Number: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__,____</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9262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566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 eligible to be resold by the Holder without restriction and hereby directs _________________ to issue the above indicated number of shares of Common</w:t>
      </w:r>
    </w:p>
    <w:p>
      <w:pPr>
        <w:spacing w:after="0"/>
        <w:rPr>
          <w:sz w:val="20"/>
          <w:szCs w:val="20"/>
          <w:color w:val="auto"/>
        </w:rPr>
      </w:pPr>
      <w:r>
        <w:rPr>
          <w:rFonts w:ascii="Times New Roman" w:cs="Times New Roman" w:eastAsia="Times New Roman" w:hAnsi="Times New Roman"/>
          <w:sz w:val="18"/>
          <w:szCs w:val="18"/>
          <w:color w:val="auto"/>
        </w:rPr>
        <w:t>Stock in accordance with the Transfer Agent Instructions dated _____________,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566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decimal"/>
      <w:start w:val="104"/>
    </w:lvl>
  </w:abstractNum>
  <w:abstractNum w:abstractNumId="2">
    <w:nsid w:val="6590700B"/>
    <w:multiLevelType w:val="hybridMultilevel"/>
    <w:lvl w:ilvl="0">
      <w:lvlJc w:val="left"/>
      <w:lvlText w:val="%1."/>
      <w:numFmt w:val="decimal"/>
      <w:start w:val="1"/>
    </w:lvl>
    <w:lvl w:ilvl="1">
      <w:lvlJc w:val="left"/>
      <w:lvlText w:val="(%2)"/>
      <w:numFmt w:val="lowerLetter"/>
      <w:start w:val="1"/>
    </w:lvl>
  </w:abstractNum>
  <w:abstractNum w:abstractNumId="3">
    <w:nsid w:val="15014ACB"/>
    <w:multiLevelType w:val="hybridMultilevel"/>
    <w:lvl w:ilvl="0">
      <w:lvlJc w:val="left"/>
      <w:lvlText w:val="%1"/>
      <w:numFmt w:val="decimal"/>
      <w:start w:val="1"/>
    </w:lvl>
    <w:lvl w:ilvl="1">
      <w:lvlJc w:val="left"/>
      <w:lvlText w:val="(%2)"/>
      <w:numFmt w:val="lowerLetter"/>
      <w:start w:val="2"/>
    </w:lvl>
  </w:abstractNum>
  <w:abstractNum w:abstractNumId="4">
    <w:nsid w:val="5F5E7FD0"/>
    <w:multiLevelType w:val="hybridMultilevel"/>
    <w:lvl w:ilvl="0">
      <w:lvlJc w:val="left"/>
      <w:lvlText w:val="%1."/>
      <w:numFmt w:val="decimal"/>
      <w:start w:val="2"/>
    </w:lvl>
    <w:lvl w:ilvl="1">
      <w:lvlJc w:val="left"/>
      <w:lvlText w:val="%2"/>
      <w:numFmt w:val="lowerLetter"/>
      <w:start w:val="1"/>
    </w:lvl>
  </w:abstractNum>
  <w:abstractNum w:abstractNumId="5">
    <w:nsid w:val="98A3148"/>
    <w:multiLevelType w:val="hybridMultilevel"/>
    <w:lvl w:ilvl="0">
      <w:lvlJc w:val="left"/>
      <w:lvlText w:val="(%1)"/>
      <w:numFmt w:val="lowerLetter"/>
      <w:start w:val="1"/>
    </w:lvl>
  </w:abstractNum>
  <w:abstractNum w:abstractNumId="6">
    <w:nsid w:val="799D0247"/>
    <w:multiLevelType w:val="hybridMultilevel"/>
    <w:lvl w:ilvl="0">
      <w:lvlJc w:val="left"/>
      <w:lvlText w:val="%1"/>
      <w:numFmt w:val="decimal"/>
      <w:start w:val="1"/>
    </w:lvl>
    <w:lvl w:ilvl="1">
      <w:lvlJc w:val="left"/>
      <w:lvlText w:val="(%2)"/>
      <w:numFmt w:val="lowerLetter"/>
      <w:start w:val="4"/>
    </w:lvl>
  </w:abstractNum>
  <w:abstractNum w:abstractNumId="7">
    <w:nsid w:val="6B94764"/>
    <w:multiLevelType w:val="hybridMultilevel"/>
    <w:lvl w:ilvl="0">
      <w:lvlJc w:val="left"/>
      <w:lvlText w:val="%1."/>
      <w:numFmt w:val="decimal"/>
      <w:start w:val="3"/>
    </w:lvl>
    <w:lvl w:ilvl="1">
      <w:lvlJc w:val="left"/>
      <w:lvlText w:val="%2"/>
      <w:numFmt w:val="lowerLetter"/>
      <w:start w:val="1"/>
    </w:lvl>
  </w:abstractNum>
  <w:abstractNum w:abstractNumId="8">
    <w:nsid w:val="42C296BD"/>
    <w:multiLevelType w:val="hybridMultilevel"/>
    <w:lvl w:ilvl="0">
      <w:lvlJc w:val="left"/>
      <w:lvlText w:val="(%1)"/>
      <w:numFmt w:val="lowerLetter"/>
      <w:start w:val="1"/>
    </w:lvl>
  </w:abstractNum>
  <w:abstractNum w:abstractNumId="9">
    <w:nsid w:val="168E121F"/>
    <w:multiLevelType w:val="hybridMultilevel"/>
    <w:lvl w:ilvl="0">
      <w:lvlJc w:val="left"/>
      <w:lvlText w:val="(%1)"/>
      <w:numFmt w:val="lowerLetter"/>
      <w:start w:val="3"/>
    </w:lvl>
  </w:abstractNum>
  <w:abstractNum w:abstractNumId="10">
    <w:nsid w:val="1EBA5D23"/>
    <w:multiLevelType w:val="hybridMultilevel"/>
    <w:lvl w:ilvl="0">
      <w:lvlJc w:val="left"/>
      <w:lvlText w:val="%1"/>
      <w:numFmt w:val="lowerLetter"/>
      <w:start w:val="1"/>
    </w:lvl>
    <w:lvl w:ilvl="1">
      <w:lvlJc w:val="left"/>
      <w:lvlText w:val="(%2)"/>
      <w:numFmt w:val="lowerLetter"/>
      <w:start w:val="4"/>
    </w:lvl>
  </w:abstractNum>
  <w:abstractNum w:abstractNumId="11">
    <w:nsid w:val="661E3F1E"/>
    <w:multiLevelType w:val="hybridMultilevel"/>
    <w:lvl w:ilvl="0">
      <w:lvlJc w:val="left"/>
      <w:lvlText w:val="(%1)"/>
      <w:numFmt w:val="lowerLetter"/>
      <w:start w:val="61"/>
    </w:lvl>
    <w:lvl w:ilvl="1">
      <w:lvlJc w:val="left"/>
      <w:lvlText w:val="(%2)"/>
      <w:numFmt w:val="lowerLetter"/>
      <w:start w:val="5"/>
    </w:lvl>
  </w:abstractNum>
  <w:abstractNum w:abstractNumId="12">
    <w:nsid w:val="5DC79EA8"/>
    <w:multiLevelType w:val="hybridMultilevel"/>
    <w:lvl w:ilvl="0">
      <w:lvlJc w:val="left"/>
      <w:lvlText w:val="(%1)"/>
      <w:numFmt w:val="lowerLetter"/>
      <w:start w:val="9"/>
    </w:lvl>
    <w:lvl w:ilvl="1">
      <w:lvlJc w:val="left"/>
      <w:lvlText w:val="%2"/>
      <w:numFmt w:val="lowerLetter"/>
      <w:start w:val="1"/>
    </w:lvl>
  </w:abstractNum>
  <w:abstractNum w:abstractNumId="13">
    <w:nsid w:val="540A471C"/>
    <w:multiLevelType w:val="hybridMultilevel"/>
    <w:lvl w:ilvl="0">
      <w:lvlJc w:val="left"/>
      <w:lvlText w:val="(%1)"/>
      <w:numFmt w:val="lowerLetter"/>
      <w:start w:val="7"/>
    </w:lvl>
  </w:abstractNum>
  <w:abstractNum w:abstractNumId="14">
    <w:nsid w:val="7BD3EE7B"/>
    <w:multiLevelType w:val="hybridMultilevel"/>
    <w:lvl w:ilvl="0">
      <w:lvlJc w:val="left"/>
      <w:lvlText w:val="(%1)"/>
      <w:numFmt w:val="lowerLetter"/>
      <w:start w:val="11"/>
    </w:lvl>
  </w:abstractNum>
  <w:abstractNum w:abstractNumId="15">
    <w:nsid w:val="51D9C564"/>
    <w:multiLevelType w:val="hybridMultilevel"/>
    <w:lvl w:ilvl="0">
      <w:lvlJc w:val="left"/>
      <w:lvlText w:val="(%1)"/>
      <w:numFmt w:val="lowerLetter"/>
      <w:start w:val="12"/>
    </w:lvl>
  </w:abstractNum>
  <w:abstractNum w:abstractNumId="16">
    <w:nsid w:val="613EFDC5"/>
    <w:multiLevelType w:val="hybridMultilevel"/>
    <w:lvl w:ilvl="0">
      <w:lvlJc w:val="left"/>
      <w:lvlText w:val="(%1)"/>
      <w:numFmt w:val="lowerLetter"/>
      <w:start w:val="14"/>
    </w:lvl>
    <w:lvl w:ilvl="1">
      <w:lvlJc w:val="left"/>
      <w:lvlText w:val="(%2)"/>
      <w:numFmt w:val="lowerLetter"/>
      <w:start w:val="9"/>
    </w:lvl>
  </w:abstractNum>
  <w:abstractNum w:abstractNumId="17">
    <w:nsid w:val="BF72B1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8">
    <w:nsid w:val="11447B73"/>
    <w:multiLevelType w:val="hybridMultilevel"/>
    <w:lvl w:ilvl="0">
      <w:lvlJc w:val="left"/>
      <w:lvlText w:val="(%1)"/>
      <w:numFmt w:val="lowerLetter"/>
      <w:start w:val="16"/>
    </w:lvl>
    <w:lvl w:ilvl="1">
      <w:lvlJc w:val="left"/>
      <w:lvlText w:val="(%2)"/>
      <w:numFmt w:val="lowerLetter"/>
      <w:start w:val="9"/>
    </w:lvl>
    <w:lvl w:ilvl="2">
      <w:lvlJc w:val="left"/>
      <w:lvlText w:val="%3"/>
      <w:numFmt w:val="lowerLetter"/>
      <w:start w:val="1"/>
    </w:lvl>
  </w:abstractNum>
  <w:abstractNum w:abstractNumId="19">
    <w:nsid w:val="42963E5A"/>
    <w:multiLevelType w:val="hybridMultilevel"/>
    <w:lvl w:ilvl="0">
      <w:lvlJc w:val="left"/>
      <w:lvlText w:val="(%1)"/>
      <w:numFmt w:val="upperLetter"/>
      <w:start w:val="1"/>
    </w:lvl>
  </w:abstractNum>
  <w:abstractNum w:abstractNumId="20">
    <w:nsid w:val="A0382C5"/>
    <w:multiLevelType w:val="hybridMultilevel"/>
    <w:lvl w:ilvl="0">
      <w:lvlJc w:val="left"/>
      <w:lvlText w:val="%1"/>
      <w:numFmt w:val="lowerRoman"/>
      <w:start w:val="1"/>
    </w:lvl>
    <w:lvl w:ilvl="1">
      <w:lvlJc w:val="left"/>
      <w:lvlText w:val="(%2)"/>
      <w:numFmt w:val="upperLetter"/>
      <w:start w:val="3"/>
    </w:lvl>
  </w:abstractNum>
  <w:abstractNum w:abstractNumId="21">
    <w:nsid w:val="8F2B15E"/>
    <w:multiLevelType w:val="hybridMultilevel"/>
    <w:lvl w:ilvl="0">
      <w:lvlJc w:val="left"/>
      <w:lvlText w:val="(%1)"/>
      <w:numFmt w:val="lowerRoman"/>
      <w:start w:val="2"/>
    </w:lvl>
    <w:lvl w:ilvl="1">
      <w:lvlJc w:val="left"/>
      <w:lvlText w:val="%2"/>
      <w:numFmt w:val="upperLetter"/>
      <w:start w:val="1"/>
    </w:lvl>
  </w:abstractNum>
  <w:abstractNum w:abstractNumId="22">
    <w:nsid w:val="1A32234B"/>
    <w:multiLevelType w:val="hybridMultilevel"/>
    <w:lvl w:ilvl="0">
      <w:lvlJc w:val="left"/>
      <w:lvlText w:val="%1"/>
      <w:numFmt w:val="lowerLetter"/>
      <w:start w:val="1"/>
    </w:lvl>
    <w:lvl w:ilvl="1">
      <w:lvlJc w:val="left"/>
      <w:lvlText w:val="(%2)"/>
      <w:numFmt w:val="lowerRoman"/>
      <w:start w:val="4"/>
    </w:lvl>
  </w:abstractNum>
  <w:abstractNum w:abstractNumId="23">
    <w:nsid w:val="3B0FD379"/>
    <w:multiLevelType w:val="hybridMultilevel"/>
    <w:lvl w:ilvl="0">
      <w:lvlJc w:val="left"/>
      <w:lvlText w:val="(%1)"/>
      <w:numFmt w:val="lowerLetter"/>
      <w:start w:val="19"/>
    </w:lvl>
    <w:lvl w:ilvl="1">
      <w:lvlJc w:val="left"/>
      <w:lvlText w:val="%2"/>
      <w:numFmt w:val="lowerRoman"/>
      <w:start w:val="1"/>
    </w:lvl>
  </w:abstractNum>
  <w:abstractNum w:abstractNumId="24">
    <w:nsid w:val="68EB2F63"/>
    <w:multiLevelType w:val="hybridMultilevel"/>
    <w:lvl w:ilvl="0">
      <w:lvlJc w:val="left"/>
      <w:lvlText w:val="(%1)"/>
      <w:numFmt w:val="lowerLetter"/>
      <w:start w:val="20"/>
    </w:lvl>
    <w:lvl w:ilvl="1">
      <w:lvlJc w:val="left"/>
      <w:lvlText w:val="(%2)"/>
      <w:numFmt w:val="lowerLetter"/>
      <w:start w:val="9"/>
    </w:lvl>
  </w:abstractNum>
  <w:abstractNum w:abstractNumId="25">
    <w:nsid w:val="496281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6">
    <w:nsid w:val="60B6DF70"/>
    <w:multiLevelType w:val="hybridMultilevel"/>
    <w:lvl w:ilvl="0">
      <w:lvlJc w:val="left"/>
      <w:lvlText w:val="%1"/>
      <w:numFmt w:val="upperLetter"/>
      <w:start w:val="1"/>
    </w:lvl>
    <w:lvl w:ilvl="1">
      <w:lvlJc w:val="left"/>
      <w:lvlText w:val="(%2)"/>
      <w:numFmt w:val="lowerLetter"/>
      <w:start w:val="24"/>
    </w:lvl>
    <w:lvl w:ilvl="2">
      <w:lvlJc w:val="left"/>
      <w:lvlText w:val="%3"/>
      <w:numFmt w:val="lowerLetter"/>
      <w:start w:val="1"/>
    </w:lvl>
  </w:abstractNum>
  <w:abstractNum w:abstractNumId="27">
    <w:nsid w:val="6A5EE6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8">
    <w:nsid w:val="14330624"/>
    <w:multiLevelType w:val="hybridMultilevel"/>
    <w:lvl w:ilvl="0">
      <w:lvlJc w:val="left"/>
      <w:lvlText w:val="(%1)"/>
      <w:numFmt w:val="lowerRoman"/>
      <w:start w:val="2"/>
    </w:lvl>
    <w:lvl w:ilvl="1">
      <w:lvlJc w:val="left"/>
      <w:lvlText w:val="(%2)"/>
      <w:numFmt w:val="upperLetter"/>
      <w:start w:val="1"/>
    </w:lvl>
  </w:abstractNum>
  <w:abstractNum w:abstractNumId="29">
    <w:nsid w:val="7FFFCA11"/>
    <w:multiLevelType w:val="hybridMultilevel"/>
    <w:lvl w:ilvl="0">
      <w:lvlJc w:val="left"/>
      <w:lvlText w:val="(%1)"/>
      <w:numFmt w:val="lowerLetter"/>
      <w:start w:val="26"/>
    </w:lvl>
  </w:abstractNum>
  <w:abstractNum w:abstractNumId="30">
    <w:nsid w:val="1A27709E"/>
    <w:multiLevelType w:val="hybridMultilevel"/>
    <w:lvl w:ilvl="0">
      <w:lvlJc w:val="left"/>
      <w:lvlText w:val="%1"/>
      <w:numFmt w:val="lowerLetter"/>
      <w:start w:val="1"/>
    </w:lvl>
    <w:lvl w:ilvl="1">
      <w:lvlJc w:val="left"/>
      <w:lvlText w:val="(%2)"/>
      <w:numFmt w:val="lowerLetter"/>
      <w:start w:val="27"/>
    </w:lvl>
  </w:abstractNum>
  <w:abstractNum w:abstractNumId="31">
    <w:nsid w:val="71EA1109"/>
    <w:multiLevelType w:val="hybridMultilevel"/>
    <w:lvl w:ilvl="0">
      <w:lvlJc w:val="left"/>
      <w:lvlText w:val="(%1)"/>
      <w:numFmt w:val="lowerLetter"/>
      <w:start w:val="61"/>
    </w:lvl>
    <w:lvl w:ilvl="1">
      <w:lvlJc w:val="left"/>
      <w:lvlText w:val="%2"/>
      <w:numFmt w:val="lowerLetter"/>
      <w:start w:val="1"/>
    </w:lvl>
  </w:abstractNum>
  <w:abstractNum w:abstractNumId="32">
    <w:nsid w:val="100F59DC"/>
    <w:multiLevelType w:val="hybridMultilevel"/>
    <w:lvl w:ilvl="0">
      <w:lvlJc w:val="left"/>
      <w:lvlText w:val="(%1)"/>
      <w:numFmt w:val="lowerLetter"/>
      <w:start w:val="28"/>
    </w:lvl>
  </w:abstractNum>
  <w:abstractNum w:abstractNumId="33">
    <w:nsid w:val="7FB7E0AA"/>
    <w:multiLevelType w:val="hybridMultilevel"/>
    <w:lvl w:ilvl="0">
      <w:lvlJc w:val="left"/>
      <w:lvlText w:val="(%1)"/>
      <w:numFmt w:val="lowerLetter"/>
      <w:start w:val="31"/>
    </w:lvl>
  </w:abstractNum>
  <w:abstractNum w:abstractNumId="34">
    <w:nsid w:val="6EB5BD4"/>
    <w:multiLevelType w:val="hybridMultilevel"/>
    <w:lvl w:ilvl="0">
      <w:lvlJc w:val="left"/>
      <w:lvlText w:val="(%1)"/>
      <w:numFmt w:val="lowerLetter"/>
      <w:start w:val="37"/>
    </w:lvl>
    <w:lvl w:ilvl="1">
      <w:lvlJc w:val="left"/>
      <w:lvlText w:val="(%2)"/>
      <w:numFmt w:val="lowerRoman"/>
      <w:start w:val="1"/>
    </w:lvl>
  </w:abstractNum>
  <w:abstractNum w:abstractNumId="35">
    <w:nsid w:val="6F6DD9A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6">
    <w:nsid w:val="94211F2"/>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37">
    <w:nsid w:val="885E1B"/>
    <w:multiLevelType w:val="hybridMultilevel"/>
    <w:lvl w:ilvl="0">
      <w:lvlJc w:val="left"/>
      <w:lvlText w:val="(%1)"/>
      <w:numFmt w:val="lowerLetter"/>
      <w:start w:val="41"/>
    </w:lvl>
    <w:lvl w:ilvl="1">
      <w:lvlJc w:val="left"/>
      <w:lvlText w:val="%2"/>
      <w:numFmt w:val="lowerRoman"/>
      <w:start w:val="1"/>
    </w:lvl>
    <w:lvl w:ilvl="2">
      <w:lvlJc w:val="left"/>
      <w:lvlText w:val="%3"/>
      <w:numFmt w:val="decimal"/>
      <w:start w:val="1"/>
    </w:lvl>
  </w:abstractNum>
  <w:abstractNum w:abstractNumId="38">
    <w:nsid w:val="76272110"/>
    <w:multiLevelType w:val="hybridMultilevel"/>
    <w:lvl w:ilvl="0">
      <w:lvlJc w:val="left"/>
      <w:lvlText w:val="(%1)"/>
      <w:numFmt w:val="lowerLetter"/>
      <w:start w:val="43"/>
    </w:lvl>
  </w:abstractNum>
  <w:abstractNum w:abstractNumId="39">
    <w:nsid w:val="4C04A8AF"/>
    <w:multiLevelType w:val="hybridMultilevel"/>
    <w:lvl w:ilvl="0">
      <w:lvlJc w:val="left"/>
      <w:lvlText w:val="(%1)"/>
      <w:numFmt w:val="lowerLetter"/>
      <w:start w:val="48"/>
    </w:lvl>
  </w:abstractNum>
  <w:abstractNum w:abstractNumId="40">
    <w:nsid w:val="171670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1">
    <w:nsid w:val="14E17E33"/>
    <w:multiLevelType w:val="hybridMultilevel"/>
    <w:lvl w:ilvl="0">
      <w:lvlJc w:val="left"/>
      <w:lvlText w:val="(%1)"/>
      <w:numFmt w:val="lowerLetter"/>
      <w:start w:val="3"/>
    </w:lvl>
  </w:abstractNum>
  <w:abstractNum w:abstractNumId="42">
    <w:nsid w:val="3222E7CD"/>
    <w:multiLevelType w:val="hybridMultilevel"/>
    <w:lvl w:ilvl="0">
      <w:lvlJc w:val="left"/>
      <w:lvlText w:val="%1"/>
      <w:numFmt w:val="lowerLetter"/>
      <w:start w:val="1"/>
    </w:lvl>
    <w:lvl w:ilvl="1">
      <w:lvlJc w:val="left"/>
      <w:lvlText w:val="(%2)"/>
      <w:numFmt w:val="lowerLetter"/>
      <w:start w:val="6"/>
    </w:lvl>
  </w:abstractNum>
  <w:abstractNum w:abstractNumId="43">
    <w:nsid w:val="74DE0EE3"/>
    <w:multiLevelType w:val="hybridMultilevel"/>
    <w:lvl w:ilvl="0">
      <w:lvlJc w:val="left"/>
      <w:lvlText w:val="(%1)"/>
      <w:numFmt w:val="lowerLetter"/>
      <w:start w:val="9"/>
    </w:lvl>
    <w:lvl w:ilvl="1">
      <w:lvlJc w:val="left"/>
      <w:lvlText w:val="(%2)"/>
      <w:numFmt w:val="lowerLetter"/>
      <w:start w:val="9"/>
    </w:lvl>
  </w:abstractNum>
  <w:abstractNum w:abstractNumId="44">
    <w:nsid w:val="68EBC550"/>
    <w:multiLevelType w:val="hybridMultilevel"/>
    <w:lvl w:ilvl="0">
      <w:lvlJc w:val="left"/>
      <w:lvlText w:val="(%1)"/>
      <w:numFmt w:val="lowerLetter"/>
      <w:start w:val="10"/>
    </w:lvl>
    <w:lvl w:ilvl="1">
      <w:lvlJc w:val="left"/>
      <w:lvlText w:val="(%2)"/>
      <w:numFmt w:val="lowerLetter"/>
      <w:start w:val="9"/>
    </w:lvl>
  </w:abstractNum>
  <w:abstractNum w:abstractNumId="45">
    <w:nsid w:val="2DF6D648"/>
    <w:multiLevelType w:val="hybridMultilevel"/>
    <w:lvl w:ilvl="0">
      <w:lvlJc w:val="left"/>
      <w:lvlText w:val="(%1)"/>
      <w:numFmt w:val="lowerRoman"/>
      <w:start w:val="2"/>
    </w:lvl>
  </w:abstractNum>
  <w:abstractNum w:abstractNumId="46">
    <w:nsid w:val="46B7D447"/>
    <w:multiLevelType w:val="hybridMultilevel"/>
    <w:lvl w:ilvl="0">
      <w:lvlJc w:val="left"/>
      <w:lvlText w:val="(%1)"/>
      <w:numFmt w:val="lowerLetter"/>
      <w:start w:val="13"/>
    </w:lvl>
  </w:abstractNum>
  <w:abstractNum w:abstractNumId="47">
    <w:nsid w:val="4A2AC315"/>
    <w:multiLevelType w:val="hybridMultilevel"/>
    <w:lvl w:ilvl="0">
      <w:lvlJc w:val="left"/>
      <w:lvlText w:val="%1"/>
      <w:numFmt w:val="upperLetter"/>
      <w:start w:val="1"/>
    </w:lvl>
    <w:lvl w:ilvl="1">
      <w:lvlJc w:val="left"/>
      <w:lvlText w:val="(%2)"/>
      <w:numFmt w:val="lowerLetter"/>
      <w:start w:val="17"/>
    </w:lvl>
  </w:abstractNum>
  <w:abstractNum w:abstractNumId="48">
    <w:nsid w:val="39EE015C"/>
    <w:multiLevelType w:val="hybridMultilevel"/>
    <w:lvl w:ilvl="0">
      <w:lvlJc w:val="left"/>
      <w:lvlText w:val="(%1)"/>
      <w:numFmt w:val="upperLetter"/>
      <w:start w:val="3"/>
    </w:lvl>
    <w:lvl w:ilvl="1">
      <w:lvlJc w:val="left"/>
      <w:lvlText w:val="%2"/>
      <w:numFmt w:val="lowerLetter"/>
      <w:start w:val="1"/>
    </w:lvl>
  </w:abstractNum>
  <w:abstractNum w:abstractNumId="49">
    <w:nsid w:val="57FC4FBB"/>
    <w:multiLevelType w:val="hybridMultilevel"/>
    <w:lvl w:ilvl="0">
      <w:lvlJc w:val="left"/>
      <w:lvlText w:val="%1"/>
      <w:numFmt w:val="decimal"/>
      <w:start w:val="1"/>
    </w:lvl>
    <w:lvl w:ilvl="1">
      <w:lvlJc w:val="left"/>
      <w:lvlText w:val="(%2)"/>
      <w:numFmt w:val="lowerLetter"/>
      <w:start w:val="24"/>
    </w:lvl>
  </w:abstractNum>
  <w:abstractNum w:abstractNumId="50">
    <w:nsid w:val="CC1016F"/>
    <w:multiLevelType w:val="hybridMultilevel"/>
    <w:lvl w:ilvl="0">
      <w:lvlJc w:val="left"/>
      <w:lvlText w:val="%1."/>
      <w:numFmt w:val="decimal"/>
      <w:start w:val="5"/>
    </w:lvl>
    <w:lvl w:ilvl="1">
      <w:lvlJc w:val="left"/>
      <w:lvlText w:val="(%2)"/>
      <w:numFmt w:val="lowerLetter"/>
      <w:start w:val="1"/>
    </w:lvl>
  </w:abstractNum>
  <w:abstractNum w:abstractNumId="51">
    <w:nsid w:val="43F18422"/>
    <w:multiLevelType w:val="hybridMultilevel"/>
    <w:lvl w:ilvl="0">
      <w:lvlJc w:val="left"/>
      <w:lvlText w:val="%1"/>
      <w:numFmt w:val="decimal"/>
      <w:start w:val="1"/>
    </w:lvl>
    <w:lvl w:ilvl="1">
      <w:lvlJc w:val="left"/>
      <w:lvlText w:val="(%2)"/>
      <w:numFmt w:val="lowerLetter"/>
      <w:start w:val="3"/>
    </w:lvl>
  </w:abstractNum>
  <w:abstractNum w:abstractNumId="52">
    <w:nsid w:val="60EF0119"/>
    <w:multiLevelType w:val="hybridMultilevel"/>
    <w:lvl w:ilvl="0">
      <w:lvlJc w:val="left"/>
      <w:lvlText w:val="%1."/>
      <w:numFmt w:val="decimal"/>
      <w:start w:val="6"/>
    </w:lvl>
    <w:lvl w:ilvl="1">
      <w:lvlJc w:val="left"/>
      <w:lvlText w:val="%2"/>
      <w:numFmt w:val="lowerLetter"/>
      <w:start w:val="1"/>
    </w:lvl>
  </w:abstractNum>
  <w:abstractNum w:abstractNumId="53">
    <w:nsid w:val="26F324BA"/>
    <w:multiLevelType w:val="hybridMultilevel"/>
    <w:lvl w:ilvl="0">
      <w:lvlJc w:val="left"/>
      <w:lvlText w:val="%1"/>
      <w:numFmt w:val="decimal"/>
      <w:start w:val="1"/>
    </w:lvl>
    <w:lvl w:ilvl="1">
      <w:lvlJc w:val="left"/>
      <w:lvlText w:val="(%2)"/>
      <w:numFmt w:val="lowerLetter"/>
      <w:start w:val="1"/>
    </w:lvl>
  </w:abstractNum>
  <w:abstractNum w:abstractNumId="54">
    <w:nsid w:val="7F01579B"/>
    <w:multiLevelType w:val="hybridMultilevel"/>
    <w:lvl w:ilvl="0">
      <w:lvlJc w:val="left"/>
      <w:lvlText w:val="%1."/>
      <w:numFmt w:val="decimal"/>
      <w:start w:val="7"/>
    </w:lvl>
    <w:lvl w:ilvl="1">
      <w:lvlJc w:val="left"/>
      <w:lvlText w:val="%2"/>
      <w:numFmt w:val="lowerLetter"/>
      <w:start w:val="1"/>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lowerLetter"/>
      <w:start w:val="2"/>
    </w:lvl>
  </w:abstractNum>
  <w:abstractNum w:abstractNumId="57">
    <w:nsid w:val="5FB8370B"/>
    <w:multiLevelType w:val="hybridMultilevel"/>
    <w:lvl w:ilvl="0">
      <w:lvlJc w:val="left"/>
      <w:lvlText w:val="(%1)"/>
      <w:numFmt w:val="lowerLetter"/>
      <w:start w:val="9"/>
    </w:lvl>
  </w:abstractNum>
  <w:abstractNum w:abstractNumId="58">
    <w:nsid w:val="50801EE1"/>
    <w:multiLevelType w:val="hybridMultilevel"/>
    <w:lvl w:ilvl="0">
      <w:lvlJc w:val="left"/>
      <w:lvlText w:val="%1"/>
      <w:numFmt w:val="decimal"/>
      <w:start w:val="1"/>
    </w:lvl>
    <w:lvl w:ilvl="1">
      <w:lvlJc w:val="left"/>
      <w:lvlText w:val="(%2)"/>
      <w:numFmt w:val="lowerLetter"/>
      <w:start w:val="18"/>
    </w:lvl>
  </w:abstractNum>
  <w:abstractNum w:abstractNumId="59">
    <w:nsid w:val="488AC1A"/>
    <w:multiLevelType w:val="hybridMultilevel"/>
    <w:lvl w:ilvl="0">
      <w:lvlJc w:val="left"/>
      <w:lvlText w:val="%1."/>
      <w:numFmt w:val="decimal"/>
      <w:start w:val="8"/>
    </w:lvl>
    <w:lvl w:ilvl="1">
      <w:lvlJc w:val="left"/>
      <w:lvlText w:val="%2"/>
      <w:numFmt w:val="lowerLetter"/>
      <w:start w:val="1"/>
    </w:lvl>
  </w:abstractNum>
  <w:abstractNum w:abstractNumId="60">
    <w:nsid w:val="5FB8011C"/>
    <w:multiLevelType w:val="hybridMultilevel"/>
    <w:lvl w:ilvl="0">
      <w:lvlJc w:val="left"/>
      <w:lvlText w:val="%1."/>
      <w:numFmt w:val="decimal"/>
      <w:start w:val="9"/>
    </w:lvl>
    <w:lvl w:ilvl="1">
      <w:lvlJc w:val="left"/>
      <w:lvlText w:val="(%2)"/>
      <w:numFmt w:val="lowerLetter"/>
      <w:start w:val="1"/>
    </w:lvl>
  </w:abstractNum>
  <w:abstractNum w:abstractNumId="61">
    <w:nsid w:val="6AA78F7F"/>
    <w:multiLevelType w:val="hybridMultilevel"/>
    <w:lvl w:ilvl="0">
      <w:lvlJc w:val="left"/>
      <w:lvlText w:val="(%1)"/>
      <w:numFmt w:val="lowerLetter"/>
      <w:start w:val="2"/>
    </w:lvl>
  </w:abstractNum>
  <w:abstractNum w:abstractNumId="62">
    <w:nsid w:val="7672BD23"/>
    <w:multiLevelType w:val="hybridMultilevel"/>
    <w:lvl w:ilvl="0">
      <w:lvlJc w:val="left"/>
      <w:lvlText w:val="(%1)"/>
      <w:numFmt w:val="lowerLetter"/>
      <w:start w:val="5"/>
    </w:lvl>
  </w:abstractNum>
  <w:abstractNum w:abstractNumId="63">
    <w:nsid w:val="6FC75AF8"/>
    <w:multiLevelType w:val="hybridMultilevel"/>
    <w:lvl w:ilvl="0">
      <w:lvlJc w:val="left"/>
      <w:lvlText w:val="(%1)"/>
      <w:numFmt w:val="lowerLetter"/>
      <w:start w:val="6"/>
    </w:lvl>
  </w:abstractNum>
  <w:abstractNum w:abstractNumId="64">
    <w:nsid w:val="6A5F7029"/>
    <w:multiLevelType w:val="hybridMultilevel"/>
    <w:lvl w:ilvl="0">
      <w:lvlJc w:val="left"/>
      <w:lvlText w:val="(%1)"/>
      <w:numFmt w:val="lowerLetter"/>
      <w:start w:val="61"/>
    </w:lvl>
    <w:lvl w:ilvl="1">
      <w:lvlJc w:val="left"/>
      <w:lvlText w:val="(%2)"/>
      <w:numFmt w:val="lowerLetter"/>
      <w:start w:val="7"/>
    </w:lvl>
    <w:lvl w:ilvl="2">
      <w:lvlJc w:val="left"/>
      <w:lvlText w:val="(%3)"/>
      <w:numFmt w:val="lowerLetter"/>
      <w:start w:val="9"/>
    </w:lvl>
  </w:abstractNum>
  <w:abstractNum w:abstractNumId="65">
    <w:nsid w:val="7D5E18F8"/>
    <w:multiLevelType w:val="hybridMultilevel"/>
    <w:lvl w:ilvl="0">
      <w:lvlJc w:val="left"/>
      <w:lvlText w:val="(%1)"/>
      <w:numFmt w:val="lowerRoman"/>
      <w:start w:val="2"/>
    </w:lvl>
  </w:abstractNum>
  <w:abstractNum w:abstractNumId="66">
    <w:nsid w:val="5F3534A4"/>
    <w:multiLevelType w:val="hybridMultilevel"/>
    <w:lvl w:ilvl="0">
      <w:lvlJc w:val="left"/>
      <w:lvlText w:val="(%1)"/>
      <w:numFmt w:val="lowerLetter"/>
      <w:start w:val="12"/>
    </w:lvl>
  </w:abstractNum>
  <w:abstractNum w:abstractNumId="67">
    <w:nsid w:val="73A1821B"/>
    <w:multiLevelType w:val="hybridMultilevel"/>
    <w:lvl w:ilvl="0">
      <w:lvlJc w:val="left"/>
      <w:lvlText w:val="(%1)"/>
      <w:numFmt w:val="lowerLetter"/>
      <w:start w:val="16"/>
    </w:lvl>
    <w:lvl w:ilvl="1">
      <w:lvlJc w:val="left"/>
      <w:lvlText w:val="(%2)"/>
      <w:numFmt w:val="lowerRoman"/>
      <w:start w:val="1"/>
    </w:lvl>
    <w:lvl w:ilvl="2">
      <w:lvlJc w:val="left"/>
      <w:lvlText w:val="(%3)"/>
      <w:numFmt w:val="decimal"/>
      <w:start w:val="1"/>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2"/>
    </w:lvl>
    <w:lvl w:ilvl="1">
      <w:lvlJc w:val="left"/>
      <w:lvlText w:val="(%2)"/>
      <w:numFmt w:val="lowerLetter"/>
      <w:start w:val="1"/>
    </w:lvl>
  </w:abstractNum>
  <w:abstractNum w:abstractNumId="70">
    <w:nsid w:val="3FA62ACA"/>
    <w:multiLevelType w:val="hybridMultilevel"/>
    <w:lvl w:ilvl="0">
      <w:lvlJc w:val="left"/>
      <w:lvlText w:val="(%1)"/>
      <w:numFmt w:val="lowerLetter"/>
      <w:start w:val="2"/>
    </w:lvl>
    <w:lvl w:ilvl="1">
      <w:lvlJc w:val="left"/>
      <w:lvlText w:val="(%2)"/>
      <w:numFmt w:val="lowerRoman"/>
      <w:start w:val="1"/>
    </w:lvl>
  </w:abstractNum>
  <w:abstractNum w:abstractNumId="71">
    <w:nsid w:val="14FCE74E"/>
    <w:multiLevelType w:val="hybridMultilevel"/>
    <w:lvl w:ilvl="0">
      <w:lvlJc w:val="left"/>
      <w:lvlText w:val="(%1)"/>
      <w:numFmt w:val="lowerLetter"/>
      <w:start w:val="3"/>
    </w:lvl>
  </w:abstractNum>
  <w:abstractNum w:abstractNumId="72">
    <w:nsid w:val="6A3DD3E8"/>
    <w:multiLevelType w:val="hybridMultilevel"/>
    <w:lvl w:ilvl="0">
      <w:lvlJc w:val="left"/>
      <w:lvlText w:val="(%1)"/>
      <w:numFmt w:val="lowerRoman"/>
      <w:start w:val="1"/>
    </w:lvl>
  </w:abstractNum>
  <w:abstractNum w:abstractNumId="73">
    <w:nsid w:val="71C91298"/>
    <w:multiLevelType w:val="hybridMultilevel"/>
    <w:lvl w:ilvl="0">
      <w:lvlJc w:val="left"/>
      <w:lvlText w:val="1"/>
      <w:numFmt w:val="bullet"/>
      <w:start w:val="1"/>
    </w:lvl>
  </w:abstractNum>
  <w:abstractNum w:abstractNumId="74">
    <w:nsid w:val="9DAF632"/>
    <w:multiLevelType w:val="hybridMultilevel"/>
    <w:lvl w:ilvl="0">
      <w:lvlJc w:val="left"/>
      <w:lvlText w:val="(%1)"/>
      <w:numFmt w:val="lowerRoman"/>
      <w:start w:val="2"/>
    </w:lvl>
  </w:abstractNum>
  <w:abstractNum w:abstractNumId="75">
    <w:nsid w:val="53299938"/>
    <w:multiLevelType w:val="hybridMultilevel"/>
    <w:lvl w:ilvl="0">
      <w:lvlJc w:val="left"/>
      <w:lvlText w:val="(%1)"/>
      <w:numFmt w:val="lowerRoman"/>
      <w:start w:val="3"/>
    </w:lvl>
  </w:abstractNum>
  <w:abstractNum w:abstractNumId="76">
    <w:nsid w:val="1FBFE8E0"/>
    <w:multiLevelType w:val="hybridMultilevel"/>
    <w:lvl w:ilvl="0">
      <w:lvlJc w:val="left"/>
      <w:lvlText w:val="(%1)"/>
      <w:numFmt w:val="lowerLetter"/>
      <w:start w:val="4"/>
    </w:lvl>
  </w:abstractNum>
  <w:abstractNum w:abstractNumId="77">
    <w:nsid w:val="5092CA79"/>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78">
    <w:nsid w:val="1D545C4D"/>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9">
    <w:nsid w:val="59ADEA3D"/>
    <w:multiLevelType w:val="hybridMultilevel"/>
    <w:lvl w:ilvl="0">
      <w:lvlJc w:val="left"/>
      <w:lvlText w:val="(%1)"/>
      <w:numFmt w:val="lowerRoman"/>
      <w:start w:val="5"/>
    </w:lvl>
  </w:abstractNum>
  <w:abstractNum w:abstractNumId="80">
    <w:nsid w:val="288F1A34"/>
    <w:multiLevelType w:val="hybridMultilevel"/>
    <w:lvl w:ilvl="0">
      <w:lvlJc w:val="left"/>
      <w:lvlText w:val="(%1)"/>
      <w:numFmt w:val="lowerRoman"/>
      <w:start w:val="9"/>
    </w:lvl>
  </w:abstractNum>
  <w:abstractNum w:abstractNumId="81">
    <w:nsid w:val="2A155DBC"/>
    <w:multiLevelType w:val="hybridMultilevel"/>
    <w:lvl w:ilvl="0">
      <w:lvlJc w:val="left"/>
      <w:lvlText w:val="%1"/>
      <w:numFmt w:val="lowerLetter"/>
      <w:start w:val="1"/>
    </w:lvl>
    <w:lvl w:ilvl="1">
      <w:lvlJc w:val="left"/>
      <w:lvlText w:val="(%2)"/>
      <w:numFmt w:val="lowerRoman"/>
      <w:start w:val="15"/>
    </w:lvl>
  </w:abstractNum>
  <w:abstractNum w:abstractNumId="82">
    <w:nsid w:val="1D9F6E5F"/>
    <w:multiLevelType w:val="hybridMultilevel"/>
    <w:lvl w:ilvl="0">
      <w:lvlJc w:val="left"/>
      <w:lvlText w:val="(%1)"/>
      <w:numFmt w:val="lowerLetter"/>
      <w:start w:val="2"/>
    </w:lvl>
    <w:lvl w:ilvl="1">
      <w:lvlJc w:val="left"/>
      <w:lvlText w:val="%2"/>
      <w:numFmt w:val="lowerRoman"/>
      <w:start w:val="1"/>
    </w:lvl>
  </w:abstractNum>
  <w:abstractNum w:abstractNumId="83">
    <w:nsid w:val="97E1B4E"/>
    <w:multiLevelType w:val="hybridMultilevel"/>
    <w:lvl w:ilvl="0">
      <w:lvlJc w:val="left"/>
      <w:lvlText w:val="(%1)"/>
      <w:numFmt w:val="upperLetter"/>
      <w:start w:val="1"/>
    </w:lvl>
  </w:abstractNum>
  <w:abstractNum w:abstractNumId="84">
    <w:nsid w:val="51088277"/>
    <w:multiLevelType w:val="hybridMultilevel"/>
    <w:lvl w:ilvl="0">
      <w:lvlJc w:val="left"/>
      <w:lvlText w:val="(%1)"/>
      <w:numFmt w:val="lowerLetter"/>
      <w:start w:val="3"/>
    </w:lvl>
  </w:abstractNum>
  <w:abstractNum w:abstractNumId="85">
    <w:nsid w:val="1CA0C5FA"/>
    <w:multiLevelType w:val="hybridMultilevel"/>
    <w:lvl w:ilvl="0">
      <w:lvlJc w:val="left"/>
      <w:lvlText w:val="%1."/>
      <w:numFmt w:val="decimal"/>
      <w:start w:val="5"/>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Letter"/>
      <w:start w:val="2"/>
    </w:lvl>
  </w:abstractNum>
  <w:abstractNum w:abstractNumId="88">
    <w:nsid w:val="7C58FD05"/>
    <w:multiLevelType w:val="hybridMultilevel"/>
    <w:lvl w:ilvl="0">
      <w:lvlJc w:val="left"/>
      <w:lvlText w:val="(%1)"/>
      <w:numFmt w:val="lowerLetter"/>
      <w:start w:val="3"/>
    </w:lvl>
  </w:abstractNum>
  <w:abstractNum w:abstractNumId="89">
    <w:nsid w:val="23D86AAC"/>
    <w:multiLevelType w:val="hybridMultilevel"/>
    <w:lvl w:ilvl="0">
      <w:lvlJc w:val="left"/>
      <w:lvlText w:val="(%1)"/>
      <w:numFmt w:val="lowerRoman"/>
      <w:start w:val="1"/>
    </w:lvl>
  </w:abstractNum>
  <w:abstractNum w:abstractNumId="90">
    <w:nsid w:val="45E6D486"/>
    <w:multiLevelType w:val="hybridMultilevel"/>
    <w:lvl w:ilvl="0">
      <w:lvlJc w:val="left"/>
      <w:lvlText w:val="%1."/>
      <w:numFmt w:val="decimal"/>
      <w:start w:val="6"/>
    </w:lvl>
    <w:lvl w:ilvl="1">
      <w:lvlJc w:val="left"/>
      <w:lvlText w:val="(%2)"/>
      <w:numFmt w:val="lowerLetter"/>
      <w:start w:val="1"/>
    </w:lvl>
  </w:abstractNum>
  <w:abstractNum w:abstractNumId="91">
    <w:nsid w:val="5C10FE21"/>
    <w:multiLevelType w:val="hybridMultilevel"/>
    <w:lvl w:ilvl="0">
      <w:lvlJc w:val="left"/>
      <w:lvlText w:val="(%1)"/>
      <w:numFmt w:val="lowerLetter"/>
      <w:start w:val="2"/>
    </w:lvl>
  </w:abstractNum>
  <w:abstractNum w:abstractNumId="92">
    <w:nsid w:val="E7FFA2B"/>
    <w:multiLevelType w:val="hybridMultilevel"/>
    <w:lvl w:ilvl="0">
      <w:lvlJc w:val="left"/>
      <w:lvlText w:val="%1."/>
      <w:numFmt w:val="decimal"/>
      <w:start w:val="7"/>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3"/>
    </w:lvl>
  </w:abstractNum>
  <w:abstractNum w:abstractNumId="95">
    <w:nsid w:val="78DF6A55"/>
    <w:multiLevelType w:val="hybridMultilevel"/>
    <w:lvl w:ilvl="0">
      <w:lvlJc w:val="left"/>
      <w:lvlText w:val="%1."/>
      <w:numFmt w:val="decimal"/>
      <w:start w:val="8"/>
    </w:lvl>
    <w:lvl w:ilvl="1">
      <w:lvlJc w:val="left"/>
      <w:lvlText w:val="(%2)"/>
      <w:numFmt w:val="lowerLetter"/>
      <w:start w:val="1"/>
    </w:lvl>
  </w:abstractNum>
  <w:abstractNum w:abstractNumId="96">
    <w:nsid w:val="39B7AAA2"/>
    <w:multiLevelType w:val="hybridMultilevel"/>
    <w:lvl w:ilvl="0">
      <w:lvlJc w:val="left"/>
      <w:lvlText w:val="2"/>
      <w:numFmt w:val="bullet"/>
      <w:start w:val="1"/>
    </w:lvl>
  </w:abstractNum>
  <w:abstractNum w:abstractNumId="97">
    <w:nsid w:val="2B0D8DBE"/>
    <w:multiLevelType w:val="hybridMultilevel"/>
    <w:lvl w:ilvl="0">
      <w:lvlJc w:val="left"/>
      <w:lvlText w:val="%1."/>
      <w:numFmt w:val="decimal"/>
      <w:start w:val="11"/>
    </w:lvl>
    <w:lvl w:ilvl="1">
      <w:lvlJc w:val="left"/>
      <w:lvlText w:val="(%2)"/>
      <w:numFmt w:val="lowerLetter"/>
      <w:start w:val="1"/>
    </w:lvl>
  </w:abstractNum>
  <w:abstractNum w:abstractNumId="98">
    <w:nsid w:val="6C80EC70"/>
    <w:multiLevelType w:val="hybridMultilevel"/>
    <w:lvl w:ilvl="0">
      <w:lvlJc w:val="left"/>
      <w:lvlText w:val="%1."/>
      <w:numFmt w:val="decimal"/>
      <w:start w:val="13"/>
    </w:lvl>
    <w:lvl w:ilvl="1">
      <w:lvlJc w:val="left"/>
      <w:lvlText w:val="(%2)"/>
      <w:numFmt w:val="lowerLetter"/>
      <w:start w:val="1"/>
    </w:lvl>
  </w:abstractNum>
  <w:abstractNum w:abstractNumId="99">
    <w:nsid w:val="379E21B5"/>
    <w:multiLevelType w:val="hybridMultilevel"/>
    <w:lvl w:ilvl="0">
      <w:lvlJc w:val="left"/>
      <w:lvlText w:val="%1"/>
      <w:numFmt w:val="decimal"/>
      <w:start w:val="1"/>
    </w:lvl>
    <w:lvl w:ilvl="1">
      <w:lvlJc w:val="left"/>
      <w:lvlText w:val="(%2)"/>
      <w:numFmt w:val="lowerLetter"/>
      <w:start w:val="2"/>
    </w:lvl>
  </w:abstractNum>
  <w:abstractNum w:abstractNumId="100">
    <w:nsid w:val="69E373"/>
    <w:multiLevelType w:val="hybridMultilevel"/>
    <w:lvl w:ilvl="0">
      <w:lvlJc w:val="left"/>
      <w:lvlText w:val="%1."/>
      <w:numFmt w:val="decimal"/>
      <w:start w:val="14"/>
    </w:lvl>
    <w:lvl w:ilvl="1">
      <w:lvlJc w:val="left"/>
      <w:lvlText w:val="(%2)"/>
      <w:numFmt w:val="lowerLetter"/>
      <w:start w:val="1"/>
    </w:lvl>
  </w:abstractNum>
  <w:abstractNum w:abstractNumId="101">
    <w:nsid w:val="2C27173B"/>
    <w:multiLevelType w:val="hybridMultilevel"/>
    <w:lvl w:ilvl="0">
      <w:lvlJc w:val="left"/>
      <w:lvlText w:val="(%1)"/>
      <w:numFmt w:val="lowerLetter"/>
      <w:start w:val="6"/>
    </w:lvl>
  </w:abstractNum>
  <w:abstractNum w:abstractNumId="102">
    <w:nsid w:val="4C9B0904"/>
    <w:multiLevelType w:val="hybridMultilevel"/>
    <w:lvl w:ilvl="0">
      <w:lvlJc w:val="left"/>
      <w:lvlText w:val="(%1)"/>
      <w:numFmt w:val="lowerLetter"/>
      <w:start w:val="13"/>
    </w:lvl>
    <w:lvl w:ilvl="1">
      <w:lvlJc w:val="left"/>
      <w:lvlText w:val="(%2)"/>
      <w:numFmt w:val="lowerRoman"/>
      <w:start w:val="1"/>
    </w:lvl>
  </w:abstractNum>
  <w:abstractNum w:abstractNumId="103">
    <w:nsid w:val="6AA7B75C"/>
    <w:multiLevelType w:val="hybridMultilevel"/>
    <w:lvl w:ilvl="0">
      <w:lvlJc w:val="left"/>
      <w:lvlText w:val="(%1)"/>
      <w:numFmt w:val="lowerLetter"/>
      <w:start w:val="15"/>
    </w:lvl>
  </w:abstractNum>
  <w:abstractNum w:abstractNumId="104">
    <w:nsid w:val="1DF029D3"/>
    <w:multiLevelType w:val="hybridMultilevel"/>
    <w:lvl w:ilvl="0">
      <w:lvlJc w:val="left"/>
      <w:lvlText w:val="(%1)"/>
      <w:numFmt w:val="lowerLetter"/>
      <w:start w:val="17"/>
    </w:lvl>
  </w:abstractNum>
  <w:abstractNum w:abstractNumId="105">
    <w:nsid w:val="5675FF36"/>
    <w:multiLevelType w:val="hybridMultilevel"/>
    <w:lvl w:ilvl="0">
      <w:lvlJc w:val="left"/>
      <w:lvlText w:val="%1."/>
      <w:numFmt w:val="decimal"/>
      <w:start w:val="16"/>
    </w:lvl>
  </w:abstractNum>
  <w:abstractNum w:abstractNumId="106">
    <w:nsid w:val="3DD15094"/>
    <w:multiLevelType w:val="hybridMultilevel"/>
    <w:lvl w:ilvl="0">
      <w:lvlJc w:val="left"/>
      <w:lvlText w:val="%1."/>
      <w:numFmt w:val="decimal"/>
      <w:start w:val="20"/>
    </w:lvl>
    <w:lvl w:ilvl="1">
      <w:lvlJc w:val="left"/>
      <w:lvlText w:val="(%2)"/>
      <w:numFmt w:val="lowerLetter"/>
      <w:start w:val="1"/>
    </w:lvl>
  </w:abstractNum>
  <w:abstractNum w:abstractNumId="107">
    <w:nsid w:val="3DB012B3"/>
    <w:multiLevelType w:val="hybridMultilevel"/>
    <w:lvl w:ilvl="0">
      <w:lvlJc w:val="left"/>
      <w:lvlText w:val="%1."/>
      <w:numFmt w:val="decimal"/>
      <w:start w:val="21"/>
    </w:lvl>
  </w:abstractNum>
  <w:abstractNum w:abstractNumId="108">
    <w:nsid w:val="2708C9AF"/>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9"/>
    </w:lvl>
  </w:abstractNum>
  <w:abstractNum w:abstractNumId="109">
    <w:nsid w:val="5B25ACE2"/>
    <w:multiLevelType w:val="hybridMultilevel"/>
    <w:lvl w:ilvl="0">
      <w:lvlJc w:val="left"/>
      <w:lvlText w:val="(%1)"/>
      <w:numFmt w:val="lowerRoman"/>
      <w:start w:val="2"/>
    </w:lvl>
  </w:abstractNum>
  <w:abstractNum w:abstractNumId="110">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1">
    <w:nsid w:val="4F97E3E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2">
    <w:nsid w:val="53B0A9E"/>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113">
    <w:nsid w:val="34FD6B4F"/>
    <w:multiLevelType w:val="hybridMultilevel"/>
    <w:lvl w:ilvl="0">
      <w:lvlJc w:val="left"/>
      <w:lvlText w:val="%1"/>
      <w:numFmt w:val="decimal"/>
      <w:start w:val="1"/>
    </w:lvl>
    <w:lvl w:ilvl="1">
      <w:lvlJc w:val="left"/>
      <w:lvlText w:val="(%2)"/>
      <w:numFmt w:val="lowerLetter"/>
      <w:start w:val="2"/>
    </w:lvl>
  </w:abstractNum>
  <w:abstractNum w:abstractNumId="114">
    <w:nsid w:val="5915FF32"/>
    <w:multiLevelType w:val="hybridMultilevel"/>
    <w:lvl w:ilvl="0">
      <w:lvlJc w:val="left"/>
      <w:lvlText w:val="%1."/>
      <w:numFmt w:val="decimal"/>
      <w:start w:val="27"/>
    </w:lvl>
    <w:lvl w:ilvl="1">
      <w:lvlJc w:val="left"/>
      <w:lvlText w:val="%2"/>
      <w:numFmt w:val="lowerLetter"/>
      <w:start w:val="1"/>
    </w:lvl>
  </w:abstractNum>
  <w:abstractNum w:abstractNumId="115">
    <w:nsid w:val="56438D15"/>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116">
    <w:nsid w:val="519E3149"/>
    <w:multiLevelType w:val="hybridMultilevel"/>
    <w:lvl w:ilvl="0">
      <w:lvlJc w:val="left"/>
      <w:lvlText w:val="%1."/>
      <w:numFmt w:val="decimal"/>
      <w:start w:val="31"/>
    </w:lvl>
    <w:lvl w:ilvl="1">
      <w:lvlJc w:val="left"/>
      <w:lvlText w:val="(%2)"/>
      <w:numFmt w:val="lowerLetter"/>
      <w:start w:val="1"/>
    </w:lvl>
  </w:abstractNum>
  <w:abstractNum w:abstractNumId="117">
    <w:nsid w:val="2C6E4AFD"/>
    <w:multiLevelType w:val="hybridMultilevel"/>
    <w:lvl w:ilvl="0">
      <w:lvlJc w:val="left"/>
      <w:lvlText w:val="4"/>
      <w:numFmt w:val="bullet"/>
      <w:start w:val="1"/>
    </w:lvl>
  </w:abstractNum>
  <w:abstractNum w:abstractNumId="118">
    <w:nsid w:val="17A1B582"/>
    <w:multiLevelType w:val="hybridMultilevel"/>
    <w:lvl w:ilvl="0">
      <w:lvlJc w:val="left"/>
      <w:lvlText w:val="(%1)"/>
      <w:numFmt w:val="lowerLetter"/>
      <w:start w:val="6"/>
    </w:lvl>
  </w:abstractNum>
  <w:abstractNum w:abstractNumId="119">
    <w:nsid w:val="4DF72E4E"/>
    <w:multiLevelType w:val="hybridMultilevel"/>
    <w:lvl w:ilvl="0">
      <w:lvlJc w:val="left"/>
      <w:lvlText w:val="(%1)"/>
      <w:numFmt w:val="lowerLetter"/>
      <w:start w:val="10"/>
    </w:lvl>
  </w:abstractNum>
  <w:abstractNum w:abstractNumId="120">
    <w:nsid w:val="5046B5A9"/>
    <w:multiLevelType w:val="hybridMultilevel"/>
    <w:lvl w:ilvl="0">
      <w:lvlJc w:val="left"/>
      <w:lvlText w:val="(%1)"/>
      <w:numFmt w:val="lowerLetter"/>
      <w:start w:val="15"/>
    </w:lvl>
  </w:abstractNum>
  <w:abstractNum w:abstractNumId="121">
    <w:nsid w:val="5D888A08"/>
    <w:multiLevelType w:val="hybridMultilevel"/>
    <w:lvl w:ilvl="0">
      <w:lvlJc w:val="left"/>
      <w:lvlText w:val="%1"/>
      <w:numFmt w:val="upperLetter"/>
      <w:start w:val="1"/>
    </w:lvl>
    <w:lvl w:ilvl="1">
      <w:lvlJc w:val="left"/>
      <w:lvlText w:val="(%2)"/>
      <w:numFmt w:val="lowerLetter"/>
      <w:start w:val="22"/>
    </w:lvl>
  </w:abstractNum>
  <w:abstractNum w:abstractNumId="122">
    <w:nsid w:val="2A082C70"/>
    <w:multiLevelType w:val="hybridMultilevel"/>
    <w:lvl w:ilvl="0">
      <w:lvlJc w:val="left"/>
      <w:lvlText w:val="(%1)"/>
      <w:numFmt w:val="upperLetter"/>
      <w:start w:val="35"/>
    </w:lvl>
    <w:lvl w:ilvl="1">
      <w:lvlJc w:val="left"/>
      <w:lvlText w:val="%2"/>
      <w:numFmt w:val="lowerLetter"/>
      <w:start w:val="1"/>
    </w:lvl>
  </w:abstractNum>
  <w:abstractNum w:abstractNumId="123">
    <w:nsid w:val="5EC6AFD4"/>
    <w:multiLevelType w:val="hybridMultilevel"/>
    <w:lvl w:ilvl="0">
      <w:lvlJc w:val="left"/>
      <w:lvlText w:val="(%1)"/>
      <w:numFmt w:val="lowerLetter"/>
      <w:start w:val="24"/>
    </w:lvl>
  </w:abstractNum>
  <w:abstractNum w:abstractNumId="124">
    <w:nsid w:val="19E21BB2"/>
    <w:multiLevelType w:val="hybridMultilevel"/>
    <w:lvl w:ilvl="0">
      <w:lvlJc w:val="left"/>
      <w:lvlText w:val="(%1)"/>
      <w:numFmt w:val="lowerLetter"/>
      <w:start w:val="27"/>
    </w:lvl>
  </w:abstractNum>
  <w:abstractNum w:abstractNumId="125">
    <w:nsid w:val="75E0858A"/>
    <w:multiLevelType w:val="hybridMultilevel"/>
    <w:lvl w:ilvl="0">
      <w:lvlJc w:val="left"/>
      <w:lvlText w:val="(%1)"/>
      <w:numFmt w:val="lowerLetter"/>
      <w:start w:val="36"/>
    </w:lvl>
  </w:abstractNum>
  <w:abstractNum w:abstractNumId="126">
    <w:nsid w:val="57A61A29"/>
    <w:multiLevelType w:val="hybridMultilevel"/>
    <w:lvl w:ilvl="0">
      <w:lvlJc w:val="left"/>
      <w:lvlText w:val="5"/>
      <w:numFmt w:val="bullet"/>
      <w:start w:val="1"/>
    </w:lvl>
  </w:abstractNum>
  <w:abstractNum w:abstractNumId="127">
    <w:nsid w:val="5399C654"/>
    <w:multiLevelType w:val="hybridMultilevel"/>
    <w:lvl w:ilvl="0">
      <w:lvlJc w:val="left"/>
      <w:lvlText w:val="%1"/>
      <w:numFmt w:val="lowerLetter"/>
      <w:start w:val="1"/>
    </w:lvl>
    <w:lvl w:ilvl="1">
      <w:lvlJc w:val="left"/>
      <w:lvlText w:val="(%2)"/>
      <w:numFmt w:val="lowerLetter"/>
      <w:start w:val="44"/>
    </w:lvl>
  </w:abstractNum>
  <w:abstractNum w:abstractNumId="128">
    <w:nsid w:val="20EE1348"/>
    <w:multiLevelType w:val="hybridMultilevel"/>
    <w:lvl w:ilvl="0">
      <w:lvlJc w:val="left"/>
      <w:lvlText w:val="(%1)"/>
      <w:numFmt w:val="lowerLetter"/>
      <w:start w:val="26"/>
    </w:lvl>
    <w:lvl w:ilvl="1">
      <w:lvlJc w:val="left"/>
      <w:lvlText w:val="%2"/>
      <w:numFmt w:val="lowerLetter"/>
      <w:start w:val="1"/>
    </w:lvl>
  </w:abstractNum>
  <w:abstractNum w:abstractNumId="129">
    <w:nsid w:val="4427069A"/>
    <w:multiLevelType w:val="hybridMultilevel"/>
    <w:lvl w:ilvl="0">
      <w:lvlJc w:val="left"/>
      <w:lvlText w:val="%1"/>
      <w:numFmt w:val="lowerRoman"/>
      <w:start w:val="1"/>
    </w:lvl>
    <w:lvl w:ilvl="1">
      <w:lvlJc w:val="left"/>
      <w:lvlText w:val="(%2)"/>
      <w:numFmt w:val="lowerLetter"/>
      <w:start w:val="48"/>
    </w:lvl>
  </w:abstractNum>
  <w:abstractNum w:abstractNumId="130">
    <w:nsid w:val="B37E80A"/>
    <w:multiLevelType w:val="hybridMultilevel"/>
    <w:lvl w:ilvl="0">
      <w:lvlJc w:val="left"/>
      <w:lvlText w:val="(%1)"/>
      <w:numFmt w:val="lowerRoman"/>
      <w:start w:val="6"/>
    </w:lvl>
    <w:lvl w:ilvl="1">
      <w:lvlJc w:val="left"/>
      <w:lvlText w:val="(%2)"/>
      <w:numFmt w:val="lowerLetter"/>
      <w:start w:val="49"/>
    </w:lvl>
  </w:abstractNum>
  <w:abstractNum w:abstractNumId="131">
    <w:nsid w:val="2157F6BC"/>
    <w:multiLevelType w:val="hybridMultilevel"/>
    <w:lvl w:ilvl="0">
      <w:lvlJc w:val="left"/>
      <w:lvlText w:val="(%1)"/>
      <w:numFmt w:val="lowerLetter"/>
      <w:start w:val="53"/>
    </w:lvl>
  </w:abstractNum>
  <w:abstractNum w:abstractNumId="132">
    <w:nsid w:val="704E1DD5"/>
    <w:multiLevelType w:val="hybridMultilevel"/>
    <w:lvl w:ilvl="0">
      <w:lvlJc w:val="left"/>
      <w:lvlText w:val="%1"/>
      <w:numFmt w:val="decimal"/>
      <w:start w:val="1"/>
    </w:lvl>
    <w:lvl w:ilvl="1">
      <w:lvlJc w:val="left"/>
      <w:lvlText w:val="(%2)"/>
      <w:numFmt w:val="lowerLetter"/>
      <w:start w:val="65"/>
    </w:lvl>
  </w:abstractNum>
  <w:abstractNum w:abstractNumId="133">
    <w:nsid w:val="57D2F10E"/>
    <w:multiLevelType w:val="hybridMultilevel"/>
    <w:lvl w:ilvl="0">
      <w:lvlJc w:val="left"/>
      <w:lvlText w:val="%1."/>
      <w:numFmt w:val="decimal"/>
      <w:start w:val="34"/>
    </w:lvl>
    <w:lvl w:ilvl="1">
      <w:lvlJc w:val="left"/>
      <w:lvlText w:val="%2"/>
      <w:numFmt w:val="lowerLetter"/>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2026-04-01T08:37:49Z</dcterms:created>
  <dcterms:modified xsi:type="dcterms:W3CDTF">2026-04-01T08:37:49Z</dcterms:modified>
</cp:coreProperties>
</file>