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 to Section 13 or 15(d) of</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15,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Ocean Power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4120" w:type="dxa"/>
            <w:vAlign w:val="bottom"/>
          </w:tcPr>
          <w:p>
            <w:pPr>
              <w:jc w:val="center"/>
              <w:ind w:right="21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8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w w:val="99"/>
              </w:rPr>
              <w:t>001-33417</w:t>
            </w:r>
          </w:p>
        </w:tc>
        <w:tc>
          <w:tcPr>
            <w:tcW w:w="1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22-2535818</w:t>
            </w:r>
          </w:p>
        </w:tc>
      </w:tr>
      <w:tr>
        <w:trPr>
          <w:trHeight w:val="216"/>
        </w:trPr>
        <w:tc>
          <w:tcPr>
            <w:tcW w:w="412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18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8"/>
              </w:rPr>
              <w:t>(Commission</w:t>
            </w:r>
          </w:p>
        </w:tc>
        <w:tc>
          <w:tcPr>
            <w:tcW w:w="196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12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18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8"/>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12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rPr>
              <w:t>28 Engelhard Drive, Suite B</w:t>
            </w:r>
          </w:p>
        </w:tc>
        <w:tc>
          <w:tcPr>
            <w:tcW w:w="31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20"/>
        </w:trPr>
        <w:tc>
          <w:tcPr>
            <w:tcW w:w="412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Monroe Township, New Jersey</w:t>
            </w:r>
          </w:p>
        </w:tc>
        <w:tc>
          <w:tcPr>
            <w:tcW w:w="3180" w:type="dxa"/>
            <w:vAlign w:val="bottom"/>
          </w:tcPr>
          <w:p>
            <w:pPr>
              <w:spacing w:after="0"/>
              <w:rPr>
                <w:sz w:val="19"/>
                <w:szCs w:val="19"/>
                <w:color w:val="auto"/>
              </w:rPr>
            </w:pPr>
          </w:p>
        </w:tc>
        <w:tc>
          <w:tcPr>
            <w:tcW w:w="19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08831</w:t>
            </w:r>
          </w:p>
        </w:tc>
      </w:tr>
      <w:tr>
        <w:trPr>
          <w:trHeight w:val="234"/>
        </w:trPr>
        <w:tc>
          <w:tcPr>
            <w:tcW w:w="7300" w:type="dxa"/>
            <w:vAlign w:val="bottom"/>
            <w:gridSpan w:val="2"/>
          </w:tcPr>
          <w:p>
            <w:pPr>
              <w:jc w:val="center"/>
              <w:ind w:right="1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96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4120" w:type="dxa"/>
            <w:vAlign w:val="bottom"/>
          </w:tcPr>
          <w:p>
            <w:pPr>
              <w:spacing w:after="0"/>
              <w:rPr>
                <w:sz w:val="24"/>
                <w:szCs w:val="24"/>
                <w:color w:val="auto"/>
              </w:rPr>
            </w:pPr>
          </w:p>
        </w:tc>
        <w:tc>
          <w:tcPr>
            <w:tcW w:w="3180" w:type="dxa"/>
            <w:vAlign w:val="bottom"/>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9"/>
              </w:rPr>
              <w:t>(609) 730-0400</w:t>
            </w:r>
          </w:p>
        </w:tc>
        <w:tc>
          <w:tcPr>
            <w:tcW w:w="1960" w:type="dxa"/>
            <w:vAlign w:val="bottom"/>
          </w:tcPr>
          <w:p>
            <w:pPr>
              <w:spacing w:after="0"/>
              <w:rPr>
                <w:sz w:val="24"/>
                <w:szCs w:val="24"/>
                <w:color w:val="auto"/>
              </w:rPr>
            </w:pPr>
          </w:p>
        </w:tc>
      </w:tr>
      <w:tr>
        <w:trPr>
          <w:trHeight w:val="234"/>
        </w:trPr>
        <w:tc>
          <w:tcPr>
            <w:tcW w:w="7300" w:type="dxa"/>
            <w:vAlign w:val="bottom"/>
            <w:gridSpan w:val="2"/>
          </w:tcPr>
          <w:p>
            <w:pPr>
              <w:jc w:val="center"/>
              <w:ind w:left="21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240.14-2(b))</w:t>
      </w:r>
    </w:p>
    <w:p>
      <w:pPr>
        <w:spacing w:after="0" w:line="225" w:lineRule="exact"/>
        <w:rPr>
          <w:rFonts w:ascii="MS PGothic" w:cs="MS PGothic" w:eastAsia="MS PGothic" w:hAnsi="MS PGothic"/>
          <w:sz w:val="18"/>
          <w:szCs w:val="18"/>
          <w:color w:val="auto"/>
        </w:rPr>
      </w:pPr>
    </w:p>
    <w:p>
      <w:pPr>
        <w:ind w:right="2540" w:firstLine="332"/>
        <w:spacing w:after="0" w:line="500"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CRF 240.133-4(c))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Trading Symbol (s)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8"/>
        </w:trPr>
        <w:tc>
          <w:tcPr>
            <w:tcW w:w="4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Common Stock, $0.001 Par Value</w:t>
            </w:r>
          </w:p>
        </w:tc>
        <w:tc>
          <w:tcPr>
            <w:tcW w:w="240" w:type="dxa"/>
            <w:vAlign w:val="bottom"/>
          </w:tcPr>
          <w:p>
            <w:pPr>
              <w:spacing w:after="0"/>
              <w:rPr>
                <w:sz w:val="17"/>
                <w:szCs w:val="17"/>
                <w:color w:val="auto"/>
              </w:rPr>
            </w:pPr>
          </w:p>
        </w:tc>
        <w:tc>
          <w:tcPr>
            <w:tcW w:w="20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OPTT</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NYSE American</w:t>
            </w:r>
          </w:p>
        </w:tc>
      </w:tr>
      <w:tr>
        <w:trPr>
          <w:trHeight w:val="234"/>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Series A Preferred Stock Purchase Rights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N/A</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September 15, 2025, Ocean Power Technologies, Inc. (the “Company”) issued a press release announcing its financial results for its fiscal first quarter ended July 31, 2025. A copy of the press release is furnished as Exhibit 99.1 to this report and is incorporated herein by reference.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set forth in Item 2.02 and in the attached Exhibit 99.1 shall be deemed to be “furnished” and shall not be deemed to be “filed” for purposes of Section 18 of the Securities Exchange Act of 1934, as amended.</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September 15, 2025, the Company issued a press release announcing a new U.S. strategic partnership. A copy of the press release is attached hereto as Exhibit 99.2 and is hereby incorporated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EE"/>
              </w:rPr>
              <w:t>Press release dated September 15, 2025 regarding fiscal first quarter earnings.</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7"/>
                <w:szCs w:val="17"/>
                <w:color w:val="auto"/>
              </w:rPr>
            </w:pPr>
          </w:p>
        </w:tc>
        <w:tc>
          <w:tcPr>
            <w:tcW w:w="56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September 15, 2025 regarding a strategic partnership.</w:t>
            </w:r>
          </w:p>
        </w:tc>
        <w:tc>
          <w:tcPr>
            <w:tcW w:w="45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bl>
    <w:p>
      <w:pPr>
        <w:spacing w:after="0" w:line="9" w:lineRule="exact"/>
        <w:rPr>
          <w:sz w:val="20"/>
          <w:szCs w:val="20"/>
          <w:color w:val="auto"/>
        </w:rPr>
      </w:pPr>
    </w:p>
    <w:p>
      <w:pPr>
        <w:ind w:right="4360" w:firstLine="8"/>
        <w:spacing w:after="0" w:line="532" w:lineRule="auto"/>
        <w:tabs>
          <w:tab w:leader="none" w:pos="10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16, 2025</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Philipp Stratmann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5740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175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First Quarter Fiscal 2026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Backlog Surges 184%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Drives Accelerating Growth Outlook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MONROE TOWNSHIP, N.J., Sept 15, 2025 (GLOBE NEWSWIRE) – Ocean Power Technologies, Inc. (“OPT” or “the Company”) (NYSE American: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OPTT), today announced financial results for its fiscal first quarter (“1Q26”) Highlights include: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1Q26 RESULTS</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at July 31, 2025 was $15.0 million, a 184% increase over the 1Q25.</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Pipeline as of July 31, 2025 was $133.5 million, a 45% increase over the $92.0 million pipeline at April July 31, 2024.</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operating expenses were consistent with the prior year’s cash operating expense levels, with the year-over-year increase detailed below attributable to non-cash stock compensation expense.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1Q26 of $1.2 million decreased 9% compared to 1Q25 revenues of $1.3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1Q26 and RECENT BUSINESS HIGHLIGHTS:</w:t>
      </w:r>
    </w:p>
    <w:p>
      <w:pPr>
        <w:spacing w:after="0" w:line="229" w:lineRule="exact"/>
        <w:rPr>
          <w:sz w:val="20"/>
          <w:szCs w:val="20"/>
          <w:color w:val="auto"/>
        </w:rPr>
      </w:pPr>
    </w:p>
    <w:p>
      <w:pPr>
        <w:jc w:val="both"/>
        <w:ind w:left="66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expanded our partnership with UAE-based Unique Group through a Master Services Agreement, strengthening our regional growth strategy. The agreement positions Unique Group as OPT’s execution partner for non-defense WAM-V® USV projects in the UAE, with immediate leasing of a WAM-V 22 and plans for fleet expansion and revenue sharing. OPT also plans to establish a dedicated MRO hub in the UAE, enhancing service capacity while creating a scalable path to recurring revenue and long-term growth.</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unveiled a major upgrade to our AI-enabled Merrows™ Maritime Domain Awareness Solution (MDAS)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significantly enhancing its performance, stability, and security while expanding interoperability across surface, subsurface, and aerial platforms. The enhanced Merrows™ strengthens its role as an ISR node, providing operators with persistent watch capabilities, multi-user monitoring, and seamless integration of third-party data sources including AIS, weather, and mapping feeds. Together with OPT’s PowerBuoy® and WAM-V® platforms, Merrows™ now delivers a scalable and autonomous monitoring network that positions OPT as a mission-critical partner within maritime security and intelligence.</w:t>
      </w:r>
    </w:p>
    <w:p>
      <w:pPr>
        <w:spacing w:after="0" w:line="2"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expanded our U.S. presence with a new office at the Association for Uncrewed Vehicle Systems International (AUVSI) headquarters in Washington, D.C., strengthening our strategic position in the fast-growing uncrewed systems market. This move enhances our access to key government and industry stakeholders, creating new pathways for commercial opportunities and policy engagement that support long-term revenue growth.</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reinforced our role as a policy and industry thought leader by testifying before the New Jersey Legislature on the state’s opportunity to lead the emerging U.S. marine energy sector. In his remarks, President and CEO Philipp Stratmann highlighted how OPT’s proven technologies and track record position the Company to help shape favorable policy, unlock new market opportunities, and drive long-term revenue growth. By leveraging its leadership in marine energy innovation, OPT is influencing national conversations that align renewable power, maritime security, and economic development.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Management Commentary – Dr. Philipp Stratmann, OPT’s President and Chief Executive Officer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Momentum across our markets continues to accelerate, as reflected in both our record backlog and the expansion of our pipeline. Customers are increasingly turning to OPT for solutions that combine maritime autonomy, renewable power, and advanced analytics to deliver critical ocean data as a service. With demand growing and our solutions gaining recognition globally as reliable, persistent, ready and primed, we believe OPT is exceptionally well positioned to capture new opportunities and expand our leadership in autonomous, persistent, and resident maritime systems.”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1Q26 FINANCIAL HIGHLIGHTS</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for 1Q26 decreased $0.1 million to $1.2 million, a 9% decrease from 1Q25 revenue of $1.3 million.</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loss </w:t>
      </w:r>
      <w:r>
        <w:rPr>
          <w:rFonts w:ascii="Times New Roman" w:cs="Times New Roman" w:eastAsia="Times New Roman" w:hAnsi="Times New Roman"/>
          <w:sz w:val="18"/>
          <w:szCs w:val="18"/>
          <w:color w:val="auto"/>
        </w:rPr>
        <w:t>for 1Q26 was $23 thousand as compared to a gross profit of $0.4 million for 1Q25.</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increased $2.1 million or 44% to $7.1 million in 1Q26, as compared to $4.9 million in 1Q25 due to a $2.1 million increase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non-cash stock compensation expenses.</w:t>
      </w: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$7.4 million for 1Q26, as compared to a net loss of $4.5 million for 1Q25, primarily driven by the $2.1 million increase in non-cash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compensation .</w:t>
      </w:r>
    </w:p>
    <w:p>
      <w:pPr>
        <w:jc w:val="both"/>
        <w:ind w:left="660" w:hanging="328"/>
        <w:spacing w:after="0" w:line="25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Backlog </w:t>
      </w:r>
      <w:r>
        <w:rPr>
          <w:rFonts w:ascii="Times New Roman" w:cs="Times New Roman" w:eastAsia="Times New Roman" w:hAnsi="Times New Roman"/>
          <w:sz w:val="18"/>
          <w:szCs w:val="18"/>
          <w:color w:val="auto"/>
        </w:rPr>
        <w:t>increased $9.7 million or 184% to $15.0 million as of July 31, 2025 as compared to $5.3 million at July 31, 2024. Our backlog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unfilled firm written orders for our products and services from commercial or governmental customers, which we call orders. We believe the disclosure of orders is a useful metric for investors, as it helps support our future revenue expectations and adds validity to our strategic growth plan. Company management uses orders as a tool to manage expected growth, budget and cash requirements, and to monitor the success of our sales and marketing efforts. If any of our orders were to be terminated, delayed or revised downward, our orders and our backlog would be reduced by the expected value of the remaining terms of such contract.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Flows:</w:t>
      </w:r>
    </w:p>
    <w:p>
      <w:pPr>
        <w:spacing w:after="0" w:line="229" w:lineRule="exact"/>
        <w:rPr>
          <w:sz w:val="20"/>
          <w:szCs w:val="20"/>
          <w:color w:val="auto"/>
        </w:rPr>
      </w:pPr>
    </w:p>
    <w:p>
      <w:pPr>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cash, unrestricted cash, cash equivalents and short-term investments as of July 31, 2025, was $10.0 million, which compares to $3.3 million at the beginning of the fiscal year.</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operating activities for 1Q26 was approximately $5.6 million, compared to $6.1 million for 1Q25.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Ocean Power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468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468880"/>
                    </a:xfrm>
                    <a:prstGeom prst="rect">
                      <a:avLst/>
                    </a:prstGeom>
                    <a:noFill/>
                  </pic:spPr>
                </pic:pic>
              </a:graphicData>
            </a:graphic>
          </wp:anchor>
        </w:drawing>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OPT provides intelligent maritime solutions and services that enable safer, cleaner, and more productive ocean operations for the defense and security, oil and gas, science and research, and offshore wind markets. Our PowerBuoy® platforms provide clean and reliable electric power and real-time data communications for remote maritime and subsea applications. We also provide WAM-V® autonomous surface vessels (ASVs) and marine robotics services. The Company’s headquarters is located in Monroe Township, New Jersey and has an additional office in Richmond, California. To learn more, visit www.OceanPowerTechnologies.com.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 Pipeline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Pipeline is not a term recognized under United States generally accepted accounting principles; however, it is a common measurement used in our industry. Our methodology for determining pipeline may not be comparable to the methodologies used by other companies. Pipeline is a representation of the journey potential customers take from the moment they become aware of our products and service to the moment they become a paying customer. The sales pipeline is divided into a series of phases, each representing a different milestone in the customer journey. It is a tool we use to track sales progress, identify potential roadblocks, and make data-driven decisions to improve our sales performance. Revenue estimates derived from our pipeline can be subject to change due to project accelerations, cancellations or delays due to various factors. These factors can also cause revenue amounts to be realized in periods and at levels different than originally projected.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83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release may contain forward-looking statements that are within the safe harbor provisions of the Private Securities Litigation Reform Act of 1995. Forward-looking statements are identified by certain words or phrases such as “may”, “will”, “aim”, “will likely result”, “believe”, “expect”, “will continue”, “anticipate”, “estimate”, “intend”, “plan”, “contemplate”, “seek to”, “future”, “objective”, “goal”, “project”, “should”, “will pursue” and similar expressions or variations of such expressions. These forward-looking statements reflect the Company’s current expectations about its future plans and performance. These forward-looking statements rely on a number of assumptions and estimates that could be inaccurate and subject to risks and uncertainties. Actual results could vary materially from those anticipated or expressed in any forward-looking statement made by the Company. Please refer to the Company’s most recent Forms 10-Q and 10-K and subsequent filings with the U.S. Securities and Exchange Commission for further discussion of these risks and uncertainties.. Except as may be required by applicable law, the Company undertakes no, and expressly disclaims any, obligation to publicly update or revise any forward-looking statements, whether as a result of new information, future events, circumstances or otherwise after the date of this press release, and you are cautioned not to rely upon them unduly,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Tables Follow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information may be found in the Company’s Annual Report on Form 10-K that will be filed with the U.S. Securities and Exchange Commission. The Form 10-K is accessible at www.sec.gov or the Investor Relations section of the Company’s website (</w:t>
      </w:r>
      <w:r>
        <w:rPr>
          <w:rFonts w:ascii="Times New Roman" w:cs="Times New Roman" w:eastAsia="Times New Roman" w:hAnsi="Times New Roman"/>
          <w:sz w:val="18"/>
          <w:szCs w:val="18"/>
          <w:u w:val="single" w:color="auto"/>
          <w:color w:val="auto"/>
        </w:rPr>
        <w:t>www.OceanPowerTechnologies.com/investor-relations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 609-730-0400 x401 or </w:t>
      </w:r>
      <w:r>
        <w:rPr>
          <w:rFonts w:ascii="Times New Roman" w:cs="Times New Roman" w:eastAsia="Times New Roman" w:hAnsi="Times New Roman"/>
          <w:sz w:val="18"/>
          <w:szCs w:val="18"/>
          <w:u w:val="single" w:color="auto"/>
          <w:color w:val="auto"/>
        </w:rPr>
        <w:t>InvestorRelations@oceanpowertech.com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609-730-0400 x402 or </w:t>
      </w:r>
      <w:r>
        <w:rPr>
          <w:rFonts w:ascii="Times New Roman" w:cs="Times New Roman" w:eastAsia="Times New Roman" w:hAnsi="Times New Roman"/>
          <w:sz w:val="18"/>
          <w:szCs w:val="18"/>
          <w:u w:val="single" w:color="auto"/>
          <w:color w:val="auto"/>
        </w:rPr>
        <w:t>MediaRelations@oceanpowertech.com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July 31, 2025</w:t>
            </w:r>
          </w:p>
        </w:tc>
        <w:tc>
          <w:tcPr>
            <w:tcW w:w="220" w:type="dxa"/>
            <w:vAlign w:val="bottom"/>
          </w:tcPr>
          <w:p>
            <w:pPr>
              <w:spacing w:after="0"/>
              <w:rPr>
                <w:sz w:val="20"/>
                <w:szCs w:val="20"/>
                <w:color w:val="auto"/>
              </w:rPr>
            </w:pPr>
          </w:p>
        </w:tc>
        <w:tc>
          <w:tcPr>
            <w:tcW w:w="1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0" w:type="dxa"/>
            <w:vAlign w:val="bottom"/>
          </w:tcPr>
          <w:p>
            <w:pPr>
              <w:spacing w:after="0"/>
              <w:rPr>
                <w:sz w:val="1"/>
                <w:szCs w:val="1"/>
                <w:color w:val="auto"/>
              </w:rPr>
            </w:pPr>
          </w:p>
        </w:tc>
      </w:tr>
      <w:tr>
        <w:trPr>
          <w:trHeight w:val="209"/>
        </w:trPr>
        <w:tc>
          <w:tcPr>
            <w:tcW w:w="7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16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9,860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6,715</w:t>
            </w: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2,207</w:t>
            </w:r>
          </w:p>
        </w:tc>
        <w:tc>
          <w:tcPr>
            <w:tcW w:w="2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4,865</w:t>
            </w:r>
          </w:p>
        </w:tc>
        <w:tc>
          <w:tcPr>
            <w:tcW w:w="2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4,222</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893</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09"/>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18,380</w:t>
            </w: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4,703</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3,444</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3,456</w:t>
            </w:r>
          </w:p>
        </w:tc>
        <w:tc>
          <w:tcPr>
            <w:tcW w:w="2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1,388</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long-term</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8,537</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8,537</w:t>
            </w:r>
          </w:p>
        </w:tc>
        <w:tc>
          <w:tcPr>
            <w:tcW w:w="0" w:type="dxa"/>
            <w:vAlign w:val="bottom"/>
          </w:tcPr>
          <w:p>
            <w:pPr>
              <w:spacing w:after="0"/>
              <w:rPr>
                <w:sz w:val="1"/>
                <w:szCs w:val="1"/>
                <w:color w:val="auto"/>
              </w:rPr>
            </w:pPr>
          </w:p>
        </w:tc>
      </w:tr>
      <w:tr>
        <w:trPr>
          <w:trHeight w:val="263"/>
        </w:trPr>
        <w:tc>
          <w:tcPr>
            <w:tcW w:w="7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36,618</w:t>
            </w:r>
          </w:p>
        </w:tc>
        <w:tc>
          <w:tcPr>
            <w:tcW w:w="3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060" w:type="dxa"/>
            <w:vAlign w:val="bottom"/>
            <w:shd w:val="clear" w:color="auto" w:fill="CCEEFF"/>
          </w:tcPr>
          <w:p>
            <w:pPr>
              <w:ind w:left="1640"/>
              <w:spacing w:after="0" w:line="196"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payable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payable (Note 13)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7,107</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liability (Note 13)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1,293</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liabilities, current portion</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981</w:t>
            </w:r>
          </w:p>
        </w:tc>
        <w:tc>
          <w:tcPr>
            <w:tcW w:w="2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Right-of-use liabilities, less current portion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606</w:t>
            </w:r>
          </w:p>
        </w:tc>
        <w:tc>
          <w:tcPr>
            <w:tcW w:w="22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authorized 5,000,000 shares, none issued or outstanding;</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100,000 designated as Series A</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0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300,000,000 shares, issued 178,312,252 shares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172,050,563 shares, respectively; outstanding 171,263,086 shares and 95,573,789 shares,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787,477 and 787,477 shares, respectively</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(1,018)</w:t>
            </w:r>
          </w:p>
        </w:tc>
        <w:tc>
          <w:tcPr>
            <w:tcW w:w="22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361,508</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356,588</w:t>
            </w: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(336,478)</w:t>
            </w:r>
          </w:p>
        </w:tc>
        <w:tc>
          <w:tcPr>
            <w:tcW w:w="22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(329,090)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24,190</w:t>
            </w:r>
          </w:p>
        </w:tc>
        <w:tc>
          <w:tcPr>
            <w:tcW w:w="3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36,618</w:t>
            </w:r>
          </w:p>
        </w:tc>
        <w:tc>
          <w:tcPr>
            <w:tcW w:w="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6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20" w:type="dxa"/>
            <w:vAlign w:val="bottom"/>
            <w:gridSpan w:val="5"/>
          </w:tcPr>
          <w:p>
            <w:pPr>
              <w:jc w:val="right"/>
              <w:ind w:right="881"/>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1,182</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1,205</w:t>
            </w:r>
          </w:p>
        </w:tc>
        <w:tc>
          <w:tcPr>
            <w:tcW w:w="420" w:type="dxa"/>
            <w:vAlign w:val="bottom"/>
          </w:tcPr>
          <w:p>
            <w:pPr>
              <w:spacing w:after="0"/>
              <w:rPr>
                <w:sz w:val="19"/>
                <w:szCs w:val="19"/>
                <w:color w:val="auto"/>
              </w:rPr>
            </w:pPr>
          </w:p>
        </w:tc>
        <w:tc>
          <w:tcPr>
            <w:tcW w:w="14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7,055</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4,920</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(expense)/income, net</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(310)</w:t>
            </w:r>
          </w:p>
        </w:tc>
        <w:tc>
          <w:tcPr>
            <w:tcW w:w="420" w:type="dxa"/>
            <w:vAlign w:val="bottom"/>
          </w:tcPr>
          <w:p>
            <w:pPr>
              <w:spacing w:after="0"/>
              <w:rPr>
                <w:sz w:val="18"/>
                <w:szCs w:val="18"/>
                <w:color w:val="auto"/>
              </w:rPr>
            </w:pPr>
          </w:p>
        </w:tc>
        <w:tc>
          <w:tcPr>
            <w:tcW w:w="14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3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shares used to compute basic and diluted net loss per common share</w:t>
            </w:r>
          </w:p>
        </w:tc>
        <w:tc>
          <w:tcPr>
            <w:tcW w:w="3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172,969,163</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81,951,002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tcBorders>
              <w:bottom w:val="single" w:sz="8" w:color="auto"/>
            </w:tcBorders>
            <w:vMerge w:val="continue"/>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4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6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(7,388)</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(4,453)</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194</w:t>
            </w:r>
          </w:p>
        </w:tc>
        <w:tc>
          <w:tcPr>
            <w:tcW w:w="120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34</w:t>
            </w:r>
          </w:p>
        </w:tc>
        <w:tc>
          <w:tcPr>
            <w:tcW w:w="1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231</w:t>
            </w:r>
          </w:p>
        </w:tc>
        <w:tc>
          <w:tcPr>
            <w:tcW w:w="120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2,399</w:t>
            </w:r>
          </w:p>
        </w:tc>
        <w:tc>
          <w:tcPr>
            <w:tcW w:w="1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(1,016)</w:t>
            </w:r>
          </w:p>
        </w:tc>
        <w:tc>
          <w:tcPr>
            <w:tcW w:w="1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6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533</w:t>
            </w:r>
          </w:p>
        </w:tc>
        <w:tc>
          <w:tcPr>
            <w:tcW w:w="1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16"/>
        </w:trPr>
        <w:tc>
          <w:tcPr>
            <w:tcW w:w="6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(643)</w:t>
            </w:r>
          </w:p>
        </w:tc>
        <w:tc>
          <w:tcPr>
            <w:tcW w:w="1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6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Right of use asset</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(66)</w:t>
            </w:r>
          </w:p>
        </w:tc>
        <w:tc>
          <w:tcPr>
            <w:tcW w:w="120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(493)</w:t>
            </w:r>
          </w:p>
        </w:tc>
        <w:tc>
          <w:tcPr>
            <w:tcW w:w="1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962</w:t>
            </w:r>
          </w:p>
        </w:tc>
      </w:tr>
      <w:tr>
        <w:trPr>
          <w:trHeight w:val="216"/>
        </w:trPr>
        <w:tc>
          <w:tcPr>
            <w:tcW w:w="6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715</w:t>
            </w:r>
          </w:p>
        </w:tc>
        <w:tc>
          <w:tcPr>
            <w:tcW w:w="1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(1,625)</w:t>
            </w:r>
          </w:p>
        </w:tc>
      </w:tr>
      <w:tr>
        <w:trPr>
          <w:trHeight w:val="216"/>
        </w:trPr>
        <w:tc>
          <w:tcPr>
            <w:tcW w:w="6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Earnout payable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w:t>
            </w:r>
          </w:p>
        </w:tc>
        <w:tc>
          <w:tcPr>
            <w:tcW w:w="1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w:t>
            </w:r>
          </w:p>
        </w:tc>
        <w:tc>
          <w:tcPr>
            <w:tcW w:w="1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6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Right-of-use liabilities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(212)</w:t>
            </w:r>
          </w:p>
        </w:tc>
        <w:tc>
          <w:tcPr>
            <w:tcW w:w="1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6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135</w:t>
            </w:r>
          </w:p>
        </w:tc>
        <w:tc>
          <w:tcPr>
            <w:tcW w:w="1200" w:type="dxa"/>
            <w:vAlign w:val="bottom"/>
          </w:tcPr>
          <w:p>
            <w:pPr>
              <w:spacing w:after="0"/>
              <w:rPr>
                <w:sz w:val="19"/>
                <w:szCs w:val="19"/>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144</w:t>
            </w:r>
          </w:p>
        </w:tc>
      </w:tr>
      <w:tr>
        <w:trPr>
          <w:trHeight w:val="210"/>
        </w:trPr>
        <w:tc>
          <w:tcPr>
            <w:tcW w:w="690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(1,453)</w:t>
            </w:r>
          </w:p>
        </w:tc>
        <w:tc>
          <w:tcPr>
            <w:tcW w:w="1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10"/>
        </w:trPr>
        <w:tc>
          <w:tcPr>
            <w:tcW w:w="69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convertible notes</w:t>
            </w:r>
          </w:p>
        </w:tc>
        <w:tc>
          <w:tcPr>
            <w:tcW w:w="150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9,866</w:t>
            </w:r>
          </w:p>
        </w:tc>
        <w:tc>
          <w:tcPr>
            <w:tcW w:w="120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 At The Market offering, net of issuance costs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337</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6,529</w:t>
            </w:r>
          </w:p>
        </w:tc>
      </w:tr>
      <w:tr>
        <w:trPr>
          <w:trHeight w:val="209"/>
        </w:trPr>
        <w:tc>
          <w:tcPr>
            <w:tcW w:w="6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10,203</w:t>
            </w:r>
          </w:p>
        </w:tc>
        <w:tc>
          <w:tcPr>
            <w:tcW w:w="32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tcBorders>
              <w:bottom w:val="single" w:sz="8" w:color="CCEEFF"/>
            </w:tcBorders>
          </w:tcPr>
          <w:p>
            <w:pPr>
              <w:spacing w:after="0"/>
              <w:rPr>
                <w:sz w:val="18"/>
                <w:szCs w:val="18"/>
                <w:color w:val="auto"/>
              </w:rPr>
            </w:pPr>
          </w:p>
        </w:tc>
      </w:tr>
      <w:tr>
        <w:trPr>
          <w:trHeight w:val="210"/>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3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r>
      <w:tr>
        <w:trPr>
          <w:trHeight w:val="210"/>
        </w:trPr>
        <w:tc>
          <w:tcPr>
            <w:tcW w:w="6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3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Borders>
              <w:bottom w:val="single" w:sz="8" w:color="CCEEFF"/>
            </w:tcBorders>
          </w:tcPr>
          <w:p>
            <w:pPr>
              <w:spacing w:after="0"/>
              <w:rPr>
                <w:sz w:val="18"/>
                <w:szCs w:val="18"/>
                <w:color w:val="auto"/>
              </w:rPr>
            </w:pPr>
          </w:p>
        </w:tc>
      </w:tr>
      <w:tr>
        <w:trPr>
          <w:trHeight w:val="223"/>
        </w:trPr>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3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related to bonus and earnout payments</w:t>
            </w:r>
          </w:p>
        </w:tc>
        <w:tc>
          <w:tcPr>
            <w:tcW w:w="150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630</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related to conversion of convertible debt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2,060</w:t>
            </w:r>
          </w:p>
        </w:tc>
        <w:tc>
          <w:tcPr>
            <w:tcW w:w="1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690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156845</wp:posOffset>
            </wp:positionV>
            <wp:extent cx="1979930" cy="454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7993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Announces Strategic Partnership with Gradient Marine to Enhance Digital Twin and Simulation Capabilities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MONROE TOWNSHIP, NJ, September 15, 2025 </w:t>
      </w:r>
      <w:r>
        <w:rPr>
          <w:rFonts w:ascii="Times New Roman" w:cs="Times New Roman" w:eastAsia="Times New Roman" w:hAnsi="Times New Roman"/>
          <w:sz w:val="18"/>
          <w:szCs w:val="18"/>
          <w:color w:val="auto"/>
        </w:rPr>
        <w:t>– Ocean Power Technologies, Inc. (NYSE American: OPTT) (“OPT” or the “Company”), a leader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innovative and cost-effective low-carbon marine power, data, and service solutions, today announced it has entered into a strategic partnership with Gradient Marine (“GM”), a U.S.-based provider of advanced digital modeling, simulation, and hardware-in-the-loop environments.</w:t>
      </w:r>
    </w:p>
    <w:p>
      <w:pPr>
        <w:spacing w:after="0" w:line="17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Through this collaboration, OPT will integrate GM’s Virtual Maritime Picture (VMP) software to develop and deploy digital twins for OPT’s flagship platforms, including the PowerBuoy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autonomous surface vehicles. These digital models are expected to enable OPT and its customers to conduct real-world simulation, mission rehearsal, and lifecycle testing in a virtual environment before deployment, accelerating development cycles and reducing operational risk.</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partnership is also expected to expand OPT’s digital engineering processes, providing powerful new tools for defense, security, and commercial customers seeking to optimize maritime operations. Together, OPT and GM plan to deliver end-to-end solutions that combine proven physical systems with cutting-edge digital simulation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Weed, Senior Vice President of Commercial Sales at Ocean Power Technologies, stated: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partnership with Gradient Marine is a significant milestone for OPT as we continue to expand the value proposition of our platforms. By leveraging GM’s advanced digital twin and simulation technology, we can offer our customers unprecedented confidence through ‘simulation-before-deployment.’ This means faster innovation, reduced risk, and better mission outcomes across defense, offshore, and commercial sectors.”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Weed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OPT, integrating digital twins into our engineering and customer workflows is a game-changer. Not only does it enhance how we develop and test our own platforms, but we believe it will also give our customers a powerful capability to model and rehearse operations before ever putting assets in the water. This partnership aligns perfectly with our strategy to deliver intelligent maritime solutions that are resilient, cost-effective, and operationally proven.”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The partnership is expected to open new opportunities in defense, offshore wind, aquaculture, subsea infrastructure, and environmental monitoring, while also providing access to Gradient Marine’s Department of Defense customer network.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Taylor Wilson, President and Chief Executive Officer at Gradient Marine, stated:</w:t>
      </w:r>
    </w:p>
    <w:p>
      <w:pPr>
        <w:spacing w:after="0" w:line="22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“This partnership is an exciting step for Gradient Marine. The addition of proven systems like the PowerBuoy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the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the growing Virtual Maritime Picture [VMP] digital library allows VMP users to seamlessly integrate these products into their workflows to develop Concepts of Operations (CONOPS) and prove autonomy software capability. VMP users can instantly assess how OPT systems will perform in realistic operating environments to cost-effectively evaluate how OPT technology improves persistent maritime surveillance and supports response activities.”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Wilson elaborated: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“We’re eager to demonstrate the value VMP provides in terms of mission planning and training to existing and future OPT customers. High-fidelity mission simulations that incorporate real-time environmental data help planners and operators select optimal mission plans to ensure fielded technology provides maximum operational impact.”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 xml:space="preserve">For more information about </w:t>
      </w:r>
      <w:r>
        <w:rPr>
          <w:rFonts w:ascii="Times New Roman" w:cs="Times New Roman" w:eastAsia="Times New Roman" w:hAnsi="Times New Roman"/>
          <w:sz w:val="18"/>
          <w:szCs w:val="18"/>
          <w:color w:val="auto"/>
        </w:rPr>
        <w:t>Ocean Power Technologies,</w:t>
      </w:r>
      <w:r>
        <w:rPr>
          <w:rFonts w:ascii="Times New Roman" w:cs="Times New Roman" w:eastAsia="Times New Roman" w:hAnsi="Times New Roman"/>
          <w:sz w:val="18"/>
          <w:szCs w:val="18"/>
          <w:color w:val="auto"/>
          <w:highlight w:val="white"/>
        </w:rPr>
        <w:t xml:space="preserve"> please visit </w:t>
      </w:r>
      <w:r>
        <w:rPr>
          <w:rFonts w:ascii="Times New Roman" w:cs="Times New Roman" w:eastAsia="Times New Roman" w:hAnsi="Times New Roman"/>
          <w:sz w:val="18"/>
          <w:szCs w:val="18"/>
          <w:u w:val="single" w:color="auto"/>
          <w:color w:val="auto"/>
        </w:rPr>
        <w:t>www.OceanPowerTechnologies.com</w:t>
      </w:r>
      <w:r>
        <w:rPr>
          <w:rFonts w:ascii="Times New Roman" w:cs="Times New Roman" w:eastAsia="Times New Roman" w:hAnsi="Times New Roman"/>
          <w:sz w:val="18"/>
          <w:szCs w:val="18"/>
          <w:color w:val="auto"/>
          <w:highlight w:val="white"/>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OCEAN POWER TECHNOLOGIES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OPT provides intelligent maritime solutions and services that enable safer, cleaner, and more productive ocean operations for the defense and security, oil and gas, science and research, and offshore wind markets, including Merrows™ which provides AI-capable seamless integration of Maritime Domain Awareness Systems across platforms. Our PowerBuoy® platforms provide clean and reliable electric power and real-time data communications for remote maritime and subsea applications. We also provide WAM-V® unmanned surface vehicles (USV’s) and marine robotics services. The Company’s headquarters is located in Monroe Township, New Jersey and has an additional office in Richmond, California. To learn more, visit </w:t>
      </w:r>
      <w:r>
        <w:rPr>
          <w:rFonts w:ascii="Times New Roman" w:cs="Times New Roman" w:eastAsia="Times New Roman" w:hAnsi="Times New Roman"/>
          <w:sz w:val="18"/>
          <w:szCs w:val="18"/>
          <w:u w:val="single" w:color="auto"/>
          <w:color w:val="auto"/>
        </w:rPr>
        <w:t>www.OceanPowerTechnologies.com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ABOUT GRADIENT MARINE</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Gradient Marine is a U.S.-based HUBZone-certified small business specializing in digital modeling, simulation, and hardware-in-the-loop environments. Its flagship Virtual Maritime Picture (VMP) software provides advanced digital twin capabilities that support mission rehearsal, lifecycle testing, and integrated physical-digital solutions for defense and commercial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release may contain forward-looking statements that are within the safe harbor provisions of the Private Securities Litigation Reform Act of 1995. Forward-looking statements are identified by certain words or phrases such as “may”, “will”, “aim”, “will likely result”, “believe”, “expect”, “will continue”, “anticipate”, “estimate”, “intend”, “plan”, “contemplate”, “seek to”, “future”, “objective”, “goal”, “project”, “should”, “will pursue” and similar expressions or variations of such expressions. These forward-looking statements reflect the Company’s current expectations about its future plans and performance. These forward-looking statements rely on a number of assumptions and estimates that could be inaccurate and subject to risks and uncertainties, including the potential success of our partnership with Gradient Marine, the delivery of customer services, the conversion of potential customers to contracts and the realization of the potential revenue thereunder. Actual results could vary materially from those anticipated or expressed in any forward-looking statement made by the Company. Please refer to the Company’s most recent Forms 10-Q and 10-K and subsequent filings with the U.S. Securities and Exchange Commission for further discussion of these risks and uncertainties. The Company disclaims any obligation or intent to update the forward-looking statements in order to reflect events or circumstances after the date of this release.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 </w:t>
      </w:r>
      <w:r>
        <w:rPr>
          <w:rFonts w:ascii="Times New Roman" w:cs="Times New Roman" w:eastAsia="Times New Roman" w:hAnsi="Times New Roman"/>
          <w:sz w:val="18"/>
          <w:szCs w:val="18"/>
          <w:u w:val="single" w:color="auto"/>
          <w:color w:val="auto"/>
        </w:rPr>
        <w:t>203-561-6945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investorrelations@oceanpowertech.com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w:t>
      </w:r>
      <w:r>
        <w:rPr>
          <w:rFonts w:ascii="Times New Roman" w:cs="Times New Roman" w:eastAsia="Times New Roman" w:hAnsi="Times New Roman"/>
          <w:sz w:val="18"/>
          <w:szCs w:val="18"/>
          <w:u w:val="single" w:color="auto"/>
          <w:color w:val="auto"/>
        </w:rPr>
        <w:t>609-730-0400 x402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MediaRelations@oceanpowertech.com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0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ldblquote"/>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2025-09-16T06:19:09Z</dcterms:created>
  <dcterms:modified xsi:type="dcterms:W3CDTF">2025-09-16T06:19:09Z</dcterms:modified>
</cp:coreProperties>
</file>