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333-275843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dated April 1, 2026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142875</wp:posOffset>
            </wp:positionV>
            <wp:extent cx="249428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 of Series C-1 Senior Convertible Notes due 2027</w:t>
      </w:r>
    </w:p>
    <w:p>
      <w:pPr>
        <w:spacing w:after="0" w:line="229"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this prospectus supplement and the accompanying prospectus, Ocean Power Technologies, Inc. (the “Company,” “we,” “us,” or “our”) is offering $10,000,000 aggregate principal amount of our Series C-1 senior convertible notes due 2027, or the Notes. We are also offering by this prospectus supplement shares of our common stock issuable from time to time upon conversion or otherwise under the Notes (including shares that may be issued in payment of interest). The Notes are being sold pursuant to a securities purchase agreement, or the Securities Purchase Agreement, among us and the investors in the Notes, dated as of April 1, 2026, pursuant to which we may issue such Notes.</w:t>
      </w:r>
    </w:p>
    <w:p>
      <w:pPr>
        <w:spacing w:after="0" w:line="183"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Notes bear interest at an interest rate of 4.5% per annum except that upon the occurrence and during the continuance of an event of default, interest will accrue on the Notes at an interest rate of 13% per annum. Unless earlier converted or redeemed, the Notes will mature on the eighteen-month anniversary of the issuance date at a premium of 13% to the face value of the Notes (the “Redemption Value”). At any time after the issuance date, the Notes are convertible, in whole or in part, and subject to certain beneficial ownership limitations, at the option of the holders, into shares of our common stock at a conversion price equal to $0.40 (the “Fixed Conversion Price”). The Fixed Conversion Price is subject to customary adjustments upon any stock split, stock dividend, stock combination, recapitalization or similar events. Starting on the closing date, the Notes amortize quarterly. We will make quarterly payments on the first trading day of each three-month anniversary commencing on the closing date through the maturity date, payable in cash. The Notes will rank senior to the right to payment of the holders of our unsecured debt, except as described herein.</w:t>
      </w:r>
    </w:p>
    <w:p>
      <w:pPr>
        <w:spacing w:after="0" w:line="19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public market currently exists for the Notes, and we do not intend to apply to list the Notes on any securities exchange or for quotation on any inter-dealer quotation system. Our common stock is listed on the NYSE American under the symbol “OPTT.” The last reported sale price of our common stock on the NYSE American on March 31, 2026 was $0.35 per share.</w:t>
      </w:r>
    </w:p>
    <w:p>
      <w:pPr>
        <w:spacing w:after="0" w:line="172"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in this prospectus supplement and in our reports filed with the Securities and Exchange Commission which are incorporated by reference therein for a discussion of information that should be considered in connection with an investment in our securities.</w:t>
      </w:r>
    </w:p>
    <w:p>
      <w:pPr>
        <w:spacing w:after="0" w:line="17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as supplemented by this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5300" w:type="dxa"/>
            <w:vAlign w:val="bottom"/>
            <w:tcBorders>
              <w:top w:val="single" w:sz="8" w:color="CCEEFF"/>
            </w:tcBorders>
            <w:gridSpan w:val="4"/>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460" w:type="dxa"/>
            <w:vAlign w:val="bottom"/>
            <w:tcBorders>
              <w:top w:val="single" w:sz="8" w:color="CCEEFF"/>
            </w:tcBorders>
            <w:gridSpan w:val="10"/>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220" w:type="dxa"/>
            <w:vAlign w:val="bottom"/>
            <w:tcBorders>
              <w:bottom w:val="single" w:sz="8" w:color="CCEEFF"/>
            </w:tcBorders>
            <w:gridSpan w:val="5"/>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80" w:type="dxa"/>
            <w:vAlign w:val="bottom"/>
            <w:tcBorders>
              <w:top w:val="single" w:sz="8" w:color="CCEEFF"/>
            </w:tcBorders>
            <w:gridSpan w:val="9"/>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DOCUMENTS INCORPORATED BY REFERENCE</w:t>
            </w:r>
          </w:p>
        </w:tc>
        <w:tc>
          <w:tcPr>
            <w:tcW w:w="4020" w:type="dxa"/>
            <w:vAlign w:val="bottom"/>
            <w:tcBorders>
              <w:bottom w:val="single" w:sz="8" w:color="CCEEFF"/>
            </w:tcBorders>
            <w:gridSpan w:val="2"/>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74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S-21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90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6"/>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50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28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876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33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020" w:type="dxa"/>
            <w:vAlign w:val="bottom"/>
            <w:tcBorders>
              <w:top w:val="single" w:sz="8" w:color="CCEEFF"/>
            </w:tcBorders>
            <w:gridSpan w:val="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686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3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280" w:type="dxa"/>
            <w:vAlign w:val="bottom"/>
            <w:tcBorders>
              <w:bottom w:val="single" w:sz="8" w:color="CCEEFF"/>
            </w:tcBorders>
            <w:gridSpan w:val="1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03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contained in this prospectus supplement and the accompanying prospectus is accurate only as of the date on the front of the applicable document and that any information we have incorporated by reference into this prospectus supplement and the accompanying prospectus is accurate only as of the date of the document incorporated by reference, regardless of the time of delivery of this prospectus supplement or the accompanying prospectus, or any sale of a security.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the prospectus supplement, which describes the specific terms of these offerings. The second part, the accompanying prospectus, provides more general information about securities we may offer from time to time, some of which may not apply to the securities we are offering under this prospectus supplement. In addition, we incorporate important information into this prospectus supplement and the accompanying prospectus by reference. You may obtain the information incorporated by reference into this prospectus supplement and the accompanying prospectus without charge by following the instructions under “Where You Can Find More Information” in this prospectus supplement. Generally, when we refer to this prospectus, we are referring to both parts of this document combined. We urge you to carefully read this prospectus supplement, the information incorporated by reference and the accompanying prospectus before buying any of the securities being offered under this prospectus supplement. This prospectus supplement may add, update or change information contained in the accompanying prospectus.</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statement that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or therein.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herein by reference, in this prospectus supplement and contained, or incorporated herein by reference, in the accompanying prospectus. We have not authorized anyone to provide you with different information. No dealer, salesperson or other person is authorized to give any information or to represent anything not contained in this prospectus supplement and the accompanying prospectus. You should not rely on any unauthorized information or representation. This prospectus supplement is an offer to sell only the securities offered hereby, and only under circumstances and in jurisdictions where it is lawful to do so.</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base prospectus are part of a registration statement on Form S-3 (File No. 333-275843) we filed with the Securities and Exchange Commission, or SEC, using a “shelf” registration process. Under this “shelf” process, we may sell from time to time in one or more offerings up to $100,000,000 of our common stock, preferred stock, debt securities, warrants, depositary shares, subscription rights, purchase contracts and units.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expressly stated otherwise, all references in this prospectus supplement and the accompanying base prospectus to “we,” “us,” “our” or similar references mean Ocean Power Technologies, Inc. and its subsidiaries on a consolidated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5927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t>PROSPECTUS SUMMARY</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these offerings and information appearing elsewhere in this prospectus supplement, in the accompanying prospectus and in the documents we incorporate by reference. This summary is not complete and does not contain all of the information that you should consider before investing in our securities. To fully understand these offerings and their consequences to you, you should read this entire prospectus supplement and the accompanying prospectus carefully, including the information referred to under the heading “Risk Factors” in this prospectus supplement on page S-5, and the financial statements and other information incorporated by reference in this prospectus supplement and the accompanying prospectus when making an investment decision. In this prospectus supplement, the terms “we,” “us,” and the “company” refer to Ocean Power Technologies, Inc. and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Association for Uncrewed Vehicle Systems International (AUVSI) headquarters in Washington, D.C., which serves to strengthen our strategic position in the fast-growing uncrewed systems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28 Engelhard Drive, Monroe Township, New Jersey 08831. Our telephone number is (609) 730-0400. We were incorporated in New Jersey in 1984 and reincorporated in the State of Delaware in 2007. We maintain a website at www.oceanpowertechnologies.com where general information about us is available. We are not incorporating the contents of the website into this prospectus.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80" w:top="914" w:right="479" w:bottom="1440" w:gutter="0" w:footer="0" w:header="0"/>
        </w:sectPr>
      </w:pPr>
    </w:p>
    <w:bookmarkStart w:id="4" w:name="page5"/>
    <w:bookmarkEnd w:id="4"/>
    <w:p>
      <w:pPr>
        <w:ind w:left="5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3613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613150"/>
                    </a:xfrm>
                    <a:prstGeom prst="rect">
                      <a:avLst/>
                    </a:prstGeom>
                    <a:noFill/>
                  </pic:spPr>
                </pic:pic>
              </a:graphicData>
            </a:graphic>
          </wp:anchor>
        </w:drawing>
        <w:t>The Offering</w:t>
      </w:r>
    </w:p>
    <w:p>
      <w:pPr>
        <w:spacing w:after="0" w:line="227" w:lineRule="exact"/>
        <w:rPr>
          <w:sz w:val="20"/>
          <w:szCs w:val="20"/>
          <w:color w:val="auto"/>
        </w:rPr>
      </w:pPr>
    </w:p>
    <w:p>
      <w:pPr>
        <w:ind w:left="1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Ocean Power Technologies, Inc.</w:t>
      </w:r>
    </w:p>
    <w:p>
      <w:pPr>
        <w:spacing w:after="0" w:line="279" w:lineRule="exact"/>
        <w:rPr>
          <w:sz w:val="20"/>
          <w:szCs w:val="20"/>
          <w:color w:val="auto"/>
        </w:rPr>
      </w:pPr>
    </w:p>
    <w:p>
      <w:pPr>
        <w:ind w:left="160"/>
        <w:spacing w:after="0"/>
        <w:tabs>
          <w:tab w:leader="none" w:pos="3000" w:val="left"/>
        </w:tabs>
        <w:rPr>
          <w:sz w:val="20"/>
          <w:szCs w:val="20"/>
          <w:color w:val="auto"/>
        </w:rPr>
      </w:pPr>
      <w:r>
        <w:rPr>
          <w:rFonts w:ascii="Times New Roman" w:cs="Times New Roman" w:eastAsia="Times New Roman" w:hAnsi="Times New Roman"/>
          <w:sz w:val="18"/>
          <w:szCs w:val="18"/>
          <w:i w:val="1"/>
          <w:iCs w:val="1"/>
          <w:color w:val="auto"/>
        </w:rPr>
        <w:t>Securities Offered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$10,000,000 aggregate principal amount of our Series C-1 senior convertible notes (“Notes”). This prospectus</w:t>
      </w:r>
    </w:p>
    <w:p>
      <w:pPr>
        <w:spacing w:after="0" w:line="29" w:lineRule="exact"/>
        <w:rPr>
          <w:sz w:val="20"/>
          <w:szCs w:val="20"/>
          <w:color w:val="auto"/>
        </w:rPr>
      </w:pPr>
    </w:p>
    <w:p>
      <w:pPr>
        <w:ind w:left="3020" w:right="140"/>
        <w:spacing w:after="0" w:line="260" w:lineRule="auto"/>
        <w:rPr>
          <w:sz w:val="20"/>
          <w:szCs w:val="20"/>
          <w:color w:val="auto"/>
        </w:rPr>
      </w:pPr>
      <w:r>
        <w:rPr>
          <w:rFonts w:ascii="Times New Roman" w:cs="Times New Roman" w:eastAsia="Times New Roman" w:hAnsi="Times New Roman"/>
          <w:sz w:val="18"/>
          <w:szCs w:val="18"/>
          <w:color w:val="auto"/>
        </w:rPr>
        <w:t>supplement also relates to the offering of shares of our common stock issuable from time to time upon conversion of the Notes.</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ectPr>
          <w:pgSz w:w="11900" w:h="16838" w:orient="portrait"/>
          <w:cols w:equalWidth="0" w:num="1">
            <w:col w:w="11240"/>
          </w:cols>
          <w:pgMar w:left="320" w:top="914" w:right="339" w:bottom="1440" w:gutter="0" w:footer="0" w:header="0"/>
        </w:sectPr>
      </w:pPr>
    </w:p>
    <w:p>
      <w:pPr>
        <w:spacing w:after="0" w:line="2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Maturity</w:t>
      </w:r>
      <w:r>
        <w:rPr>
          <w:rFonts w:ascii="Times New Roman" w:cs="Times New Roman" w:eastAsia="Times New Roman" w:hAnsi="Times New Roman"/>
          <w:sz w:val="17"/>
          <w:szCs w:val="17"/>
          <w:color w:val="auto"/>
        </w:rPr>
        <w:t>:</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2027</w:t>
      </w:r>
    </w:p>
    <w:p>
      <w:pPr>
        <w:spacing w:after="0" w:line="25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Notes will bear interest at an interest rate of 4.5% per annum except in the case of an event of default, in which case interest will be 13% per annum during any such event of default. The holders will also be entitled to a make-whole amount in connection with any conversion, redemption or other repayment equal to the amount of interest that would have accrued under the Notes as to the amount of such conversion, redemption or other repayment if the Notes had remained outstanding through and including the maturity date.</w:t>
      </w:r>
    </w:p>
    <w:p>
      <w:pPr>
        <w:spacing w:after="0" w:line="200" w:lineRule="exact"/>
        <w:rPr>
          <w:sz w:val="20"/>
          <w:szCs w:val="20"/>
          <w:color w:val="auto"/>
        </w:rPr>
      </w:pPr>
    </w:p>
    <w:p>
      <w:pPr>
        <w:sectPr>
          <w:pgSz w:w="11900" w:h="16838" w:orient="portrait"/>
          <w:cols w:equalWidth="0" w:num="2">
            <w:col w:w="2300" w:space="720"/>
            <w:col w:w="8220"/>
          </w:cols>
          <w:pgMar w:left="320" w:top="914" w:right="3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w:t>
            </w:r>
          </w:p>
        </w:tc>
        <w:tc>
          <w:tcPr>
            <w:tcW w:w="9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Notes will be unsecured obligations and will rank senior to the right to payment of the holders of our</w:t>
            </w:r>
          </w:p>
        </w:tc>
      </w:tr>
      <w:tr>
        <w:trPr>
          <w:trHeight w:val="234"/>
        </w:trPr>
        <w:tc>
          <w:tcPr>
            <w:tcW w:w="2240" w:type="dxa"/>
            <w:vAlign w:val="bottom"/>
          </w:tcPr>
          <w:p>
            <w:pPr>
              <w:spacing w:after="0"/>
              <w:rPr>
                <w:sz w:val="20"/>
                <w:szCs w:val="20"/>
                <w:color w:val="auto"/>
              </w:rPr>
            </w:pPr>
          </w:p>
        </w:tc>
        <w:tc>
          <w:tcPr>
            <w:tcW w:w="9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unsecured debt, except for certain permitted debt, as set forth in the Notes.</w:t>
            </w:r>
          </w:p>
        </w:tc>
      </w:tr>
      <w:tr>
        <w:trPr>
          <w:trHeight w:val="441"/>
        </w:trPr>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Conversion Price:</w:t>
            </w:r>
          </w:p>
        </w:tc>
        <w:tc>
          <w:tcPr>
            <w:tcW w:w="9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 any time after the issuance date, the Notes will be convertible at $0.40, in whole or in part, at the option of</w:t>
            </w:r>
          </w:p>
        </w:tc>
      </w:tr>
      <w:tr>
        <w:trPr>
          <w:trHeight w:val="234"/>
        </w:trPr>
        <w:tc>
          <w:tcPr>
            <w:tcW w:w="2240" w:type="dxa"/>
            <w:vAlign w:val="bottom"/>
          </w:tcPr>
          <w:p>
            <w:pPr>
              <w:spacing w:after="0"/>
              <w:rPr>
                <w:sz w:val="20"/>
                <w:szCs w:val="20"/>
                <w:color w:val="auto"/>
              </w:rPr>
            </w:pPr>
          </w:p>
        </w:tc>
        <w:tc>
          <w:tcPr>
            <w:tcW w:w="9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holders and subject to certain beneficial ownership limitations.</w:t>
            </w:r>
          </w:p>
        </w:tc>
      </w:tr>
      <w:tr>
        <w:trPr>
          <w:trHeight w:val="226"/>
        </w:trPr>
        <w:tc>
          <w:tcPr>
            <w:tcW w:w="22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r>
      <w:tr>
        <w:trPr>
          <w:trHeight w:val="429"/>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914"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160" w:type="dxa"/>
            <w:vAlign w:val="bottom"/>
            <w:tcBorders>
              <w:top w:val="single" w:sz="8" w:color="auto"/>
              <w:left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Limitations of Conversion</w:t>
            </w:r>
          </w:p>
        </w:tc>
        <w:tc>
          <w:tcPr>
            <w:tcW w:w="700" w:type="dxa"/>
            <w:vAlign w:val="bottom"/>
            <w:tcBorders>
              <w:top w:val="single" w:sz="8" w:color="auto"/>
            </w:tcBorders>
            <w:gridSpan w:val="2"/>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520" w:type="dxa"/>
            <w:vAlign w:val="bottom"/>
            <w:tcBorders>
              <w:top w:val="single" w:sz="8" w:color="auto"/>
              <w:right w:val="single" w:sz="8" w:color="auto"/>
            </w:tcBorders>
          </w:tcPr>
          <w:p>
            <w:pPr>
              <w:spacing w:after="0"/>
              <w:rPr>
                <w:sz w:val="24"/>
                <w:szCs w:val="24"/>
                <w:color w:val="auto"/>
              </w:rPr>
            </w:pPr>
          </w:p>
        </w:tc>
      </w:tr>
      <w:tr>
        <w:trPr>
          <w:trHeight w:val="434"/>
        </w:trPr>
        <w:tc>
          <w:tcPr>
            <w:tcW w:w="160" w:type="dxa"/>
            <w:vAlign w:val="bottom"/>
            <w:tcBorders>
              <w:left w:val="single" w:sz="8" w:color="auto"/>
            </w:tcBorders>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Beneficial Ownership Limitation</w:t>
            </w:r>
          </w:p>
        </w:tc>
        <w:tc>
          <w:tcPr>
            <w:tcW w:w="848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such conversion or</w:t>
            </w:r>
          </w:p>
        </w:tc>
      </w:tr>
      <w:tr>
        <w:trPr>
          <w:trHeight w:val="216"/>
        </w:trPr>
        <w:tc>
          <w:tcPr>
            <w:tcW w:w="1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8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issuance would cause the applicable holder (together with its affiliates) to beneficially own in excess of 4.99%</w:t>
            </w:r>
          </w:p>
        </w:tc>
      </w:tr>
      <w:tr>
        <w:trPr>
          <w:trHeight w:val="216"/>
        </w:trPr>
        <w:tc>
          <w:tcPr>
            <w:tcW w:w="1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8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of the outstanding shares of our common stock (which percentage is subject to increase to 9.99% or decrease, at</w:t>
            </w:r>
          </w:p>
        </w:tc>
      </w:tr>
      <w:tr>
        <w:trPr>
          <w:trHeight w:val="216"/>
        </w:trPr>
        <w:tc>
          <w:tcPr>
            <w:tcW w:w="1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8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 option of such holder, except that any increase will only be effective upon 61 days’ prior written notice to</w:t>
            </w:r>
          </w:p>
        </w:tc>
      </w:tr>
      <w:tr>
        <w:trPr>
          <w:trHeight w:val="234"/>
        </w:trPr>
        <w:tc>
          <w:tcPr>
            <w:tcW w:w="1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7520" w:type="dxa"/>
            <w:vAlign w:val="bottom"/>
            <w:tcBorders>
              <w:right w:val="single" w:sz="8" w:color="auto"/>
            </w:tcBorders>
          </w:tcPr>
          <w:p>
            <w:pPr>
              <w:spacing w:after="0"/>
              <w:rPr>
                <w:sz w:val="20"/>
                <w:szCs w:val="20"/>
                <w:color w:val="auto"/>
              </w:rPr>
            </w:pPr>
          </w:p>
        </w:tc>
      </w:tr>
      <w:tr>
        <w:trPr>
          <w:trHeight w:val="391"/>
        </w:trPr>
        <w:tc>
          <w:tcPr>
            <w:tcW w:w="160" w:type="dxa"/>
            <w:vAlign w:val="bottom"/>
            <w:tcBorders>
              <w:left w:val="single" w:sz="8" w:color="auto"/>
            </w:tcBorders>
          </w:tcPr>
          <w:p>
            <w:pPr>
              <w:spacing w:after="0"/>
              <w:rPr>
                <w:sz w:val="24"/>
                <w:szCs w:val="24"/>
                <w:color w:val="auto"/>
              </w:rPr>
            </w:pPr>
          </w:p>
        </w:tc>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Holder Redemption Rights</w:t>
            </w: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520" w:type="dxa"/>
            <w:vAlign w:val="bottom"/>
            <w:tcBorders>
              <w:right w:val="single" w:sz="8" w:color="auto"/>
            </w:tcBorders>
          </w:tcPr>
          <w:p>
            <w:pPr>
              <w:spacing w:after="0"/>
              <w:rPr>
                <w:sz w:val="24"/>
                <w:szCs w:val="24"/>
                <w:color w:val="auto"/>
              </w:rPr>
            </w:pPr>
          </w:p>
        </w:tc>
      </w:tr>
      <w:tr>
        <w:trPr>
          <w:trHeight w:val="434"/>
        </w:trPr>
        <w:tc>
          <w:tcPr>
            <w:tcW w:w="160" w:type="dxa"/>
            <w:vAlign w:val="bottom"/>
            <w:tcBorders>
              <w:left w:val="single" w:sz="8" w:color="auto"/>
            </w:tcBorders>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Event of Default Redemption</w:t>
            </w: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Upon an event of default, each holder of Notes may require us to redeem in cash all, or any portion, of the</w:t>
            </w:r>
          </w:p>
        </w:tc>
      </w:tr>
      <w:tr>
        <w:trPr>
          <w:trHeight w:val="216"/>
        </w:trPr>
        <w:tc>
          <w:tcPr>
            <w:tcW w:w="1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Notes at the greater of (i) the face value of our common stock underlying the Notes at a 15% premium and (ii)</w:t>
            </w:r>
          </w:p>
        </w:tc>
      </w:tr>
      <w:tr>
        <w:trPr>
          <w:trHeight w:val="234"/>
        </w:trPr>
        <w:tc>
          <w:tcPr>
            <w:tcW w:w="1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the equity value of our common stock underlying the Notes.</w:t>
            </w:r>
          </w:p>
        </w:tc>
      </w:tr>
      <w:tr>
        <w:trPr>
          <w:trHeight w:val="412"/>
        </w:trPr>
        <w:tc>
          <w:tcPr>
            <w:tcW w:w="160" w:type="dxa"/>
            <w:vAlign w:val="bottom"/>
            <w:tcBorders>
              <w:left w:val="single" w:sz="8" w:color="auto"/>
            </w:tcBorders>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Bankruptcy Event of Default</w:t>
            </w: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Upon any bankruptcy event of default, we shall immediately redeem in cash all amounts due under the Notes at</w:t>
            </w:r>
          </w:p>
        </w:tc>
      </w:tr>
      <w:tr>
        <w:trPr>
          <w:trHeight w:val="236"/>
        </w:trPr>
        <w:tc>
          <w:tcPr>
            <w:tcW w:w="160" w:type="dxa"/>
            <w:vAlign w:val="bottom"/>
            <w:tcBorders>
              <w:left w:val="single" w:sz="8" w:color="auto"/>
            </w:tcBorders>
          </w:tcPr>
          <w:p>
            <w:pPr>
              <w:spacing w:after="0"/>
              <w:rPr>
                <w:sz w:val="20"/>
                <w:szCs w:val="20"/>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Mandatory Redemption</w:t>
            </w: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 15% premium unless each holder waives such right to receive such payment.</w:t>
            </w:r>
          </w:p>
        </w:tc>
      </w:tr>
      <w:tr>
        <w:trPr>
          <w:trHeight w:val="630"/>
        </w:trPr>
        <w:tc>
          <w:tcPr>
            <w:tcW w:w="160" w:type="dxa"/>
            <w:vAlign w:val="bottom"/>
            <w:tcBorders>
              <w:left w:val="single" w:sz="8" w:color="auto"/>
            </w:tcBorders>
          </w:tcPr>
          <w:p>
            <w:pPr>
              <w:spacing w:after="0"/>
              <w:rPr>
                <w:sz w:val="24"/>
                <w:szCs w:val="24"/>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 Redemption</w:t>
            </w: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w:t>
            </w:r>
          </w:p>
        </w:tc>
      </w:tr>
      <w:tr>
        <w:trPr>
          <w:trHeight w:val="234"/>
        </w:trPr>
        <w:tc>
          <w:tcPr>
            <w:tcW w:w="1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any portion, of the amounts due under the Notes at a price equal to the greatest of:</w:t>
            </w:r>
          </w:p>
        </w:tc>
      </w:tr>
      <w:tr>
        <w:trPr>
          <w:trHeight w:val="432"/>
        </w:trPr>
        <w:tc>
          <w:tcPr>
            <w:tcW w:w="160" w:type="dxa"/>
            <w:vAlign w:val="bottom"/>
            <w:tcBorders>
              <w:lef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equity value of our common stock underlying the Notes, and</w:t>
            </w:r>
          </w:p>
        </w:tc>
      </w:tr>
      <w:tr>
        <w:trPr>
          <w:trHeight w:val="414"/>
        </w:trPr>
        <w:tc>
          <w:tcPr>
            <w:tcW w:w="160" w:type="dxa"/>
            <w:vAlign w:val="bottom"/>
            <w:tcBorders>
              <w:left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equity value of the change of control consideration payable to the holders of our common stock</w:t>
            </w:r>
          </w:p>
        </w:tc>
      </w:tr>
      <w:tr>
        <w:trPr>
          <w:trHeight w:val="234"/>
        </w:trPr>
        <w:tc>
          <w:tcPr>
            <w:tcW w:w="160" w:type="dxa"/>
            <w:vAlign w:val="bottom"/>
            <w:tcBorders>
              <w:left w:val="single" w:sz="8" w:color="auto"/>
            </w:tcBorders>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underlying the Notes.</w:t>
            </w:r>
          </w:p>
        </w:tc>
      </w:tr>
      <w:tr>
        <w:trPr>
          <w:trHeight w:val="226"/>
        </w:trPr>
        <w:tc>
          <w:tcPr>
            <w:tcW w:w="160" w:type="dxa"/>
            <w:vAlign w:val="bottom"/>
            <w:tcBorders>
              <w:left w:val="single" w:sz="8" w:color="auto"/>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520" w:type="dxa"/>
            <w:vAlign w:val="bottom"/>
            <w:tcBorders>
              <w:bottom w:val="single" w:sz="8" w:color="auto"/>
              <w:right w:val="single" w:sz="8" w:color="auto"/>
            </w:tcBorders>
          </w:tcPr>
          <w:p>
            <w:pPr>
              <w:spacing w:after="0"/>
              <w:rPr>
                <w:sz w:val="19"/>
                <w:szCs w:val="19"/>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683"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0"/>
        </w:trPr>
        <w:tc>
          <w:tcPr>
            <w:tcW w:w="160" w:type="dxa"/>
            <w:vAlign w:val="bottom"/>
            <w:tcBorders>
              <w:top w:val="single" w:sz="8" w:color="auto"/>
              <w:left w:val="single" w:sz="8" w:color="auto"/>
            </w:tcBorders>
          </w:tcPr>
          <w:p>
            <w:pPr>
              <w:spacing w:after="0"/>
              <w:rPr>
                <w:sz w:val="24"/>
                <w:szCs w:val="24"/>
                <w:color w:val="auto"/>
              </w:rPr>
            </w:pPr>
          </w:p>
        </w:tc>
        <w:tc>
          <w:tcPr>
            <w:tcW w:w="2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Subsequent Placement Redemption</w:t>
            </w:r>
          </w:p>
        </w:tc>
        <w:tc>
          <w:tcPr>
            <w:tcW w:w="840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The holders of the Notes may require us to redeem the Notes, in whole or in part, upon the occurrence of</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certain offerings of equity or equity-linked securities with 30% of the net proceeds of such an offering.</w:t>
            </w:r>
          </w:p>
        </w:tc>
      </w:tr>
      <w:tr>
        <w:trPr>
          <w:trHeight w:val="391"/>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Starting on the closing date, the Notes amortize quarterly. On each such three-month anniversary of the</w:t>
            </w:r>
          </w:p>
        </w:tc>
      </w:tr>
      <w:tr>
        <w:trPr>
          <w:trHeight w:val="218"/>
        </w:trPr>
        <w:tc>
          <w:tcPr>
            <w:tcW w:w="160" w:type="dxa"/>
            <w:vAlign w:val="bottom"/>
            <w:tcBorders>
              <w:left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issuance date of the Notes, the Company will redeem in cash a portion of the Notes equal to the sum of (A) the</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lesser of (x) the quotient of (I) 113% of the initial principal amount of the Notes divided by (II) six (6) and (y)</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113% of the principal value then outstanding as of such date (subject to reduction with respect to any deferral to</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any later date), (B) any amount deferred to, and included in, such amortization amount in accordance with the</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Notes, (C) any make-whole amount as of such date with respect to such principal value then outstanding as of</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such date, (D) the sum of any accrued and unpaid interest on the Notes as of such date with respect to such</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principal value then outstanding as of such date, (E) any accrued and unpaid late charges pursuant to the Notes,</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if any, as of such date with respect, and (F) any other unpaid amounts pursuant to any transaction document</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associated with this offering, if any, due or overdue as of such date.</w:t>
            </w:r>
          </w:p>
        </w:tc>
      </w:tr>
      <w:tr>
        <w:trPr>
          <w:trHeight w:val="432"/>
        </w:trPr>
        <w:tc>
          <w:tcPr>
            <w:tcW w:w="1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Each holder of the Notes has the option to defer individual amortization payments to a later date.</w:t>
            </w:r>
          </w:p>
        </w:tc>
      </w:tr>
      <w:tr>
        <w:trPr>
          <w:trHeight w:val="418"/>
        </w:trPr>
        <w:tc>
          <w:tcPr>
            <w:tcW w:w="160" w:type="dxa"/>
            <w:vAlign w:val="bottom"/>
            <w:tcBorders>
              <w:left w:val="single" w:sz="8" w:color="auto"/>
            </w:tcBorders>
          </w:tcPr>
          <w:p>
            <w:pPr>
              <w:spacing w:after="0"/>
              <w:rPr>
                <w:sz w:val="24"/>
                <w:szCs w:val="24"/>
                <w:color w:val="auto"/>
              </w:rPr>
            </w:pPr>
          </w:p>
        </w:tc>
        <w:tc>
          <w:tcPr>
            <w:tcW w:w="2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Company Change of Control</w:t>
            </w:r>
          </w:p>
        </w:tc>
        <w:tc>
          <w:tcPr>
            <w:tcW w:w="600" w:type="dxa"/>
            <w:vAlign w:val="bottom"/>
          </w:tcPr>
          <w:p>
            <w:pPr>
              <w:spacing w:after="0"/>
              <w:rPr>
                <w:sz w:val="24"/>
                <w:szCs w:val="24"/>
                <w:color w:val="auto"/>
              </w:rPr>
            </w:pPr>
          </w:p>
        </w:tc>
        <w:tc>
          <w:tcPr>
            <w:tcW w:w="840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As long as no event of default has occurred and is continuing, the Company may require a holder to redeem all,</w:t>
            </w:r>
          </w:p>
        </w:tc>
      </w:tr>
      <w:tr>
        <w:trPr>
          <w:trHeight w:val="196"/>
        </w:trPr>
        <w:tc>
          <w:tcPr>
            <w:tcW w:w="160" w:type="dxa"/>
            <w:vAlign w:val="bottom"/>
            <w:tcBorders>
              <w:left w:val="single" w:sz="8" w:color="auto"/>
            </w:tcBorders>
          </w:tcPr>
          <w:p>
            <w:pPr>
              <w:spacing w:after="0"/>
              <w:rPr>
                <w:sz w:val="17"/>
                <w:szCs w:val="17"/>
                <w:color w:val="auto"/>
              </w:rPr>
            </w:pPr>
          </w:p>
        </w:tc>
        <w:tc>
          <w:tcPr>
            <w:tcW w:w="26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Redemption Right</w:t>
            </w:r>
          </w:p>
        </w:tc>
        <w:tc>
          <w:tcPr>
            <w:tcW w:w="8400" w:type="dxa"/>
            <w:vAlign w:val="bottom"/>
            <w:tcBorders>
              <w:right w:val="single" w:sz="8" w:color="auto"/>
            </w:tcBorders>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or any portion, of the amounts due under the Notes, at such holder’s election in either:</w:t>
            </w:r>
          </w:p>
        </w:tc>
      </w:tr>
      <w:tr>
        <w:trPr>
          <w:trHeight w:val="453"/>
        </w:trPr>
        <w:tc>
          <w:tcPr>
            <w:tcW w:w="160" w:type="dxa"/>
            <w:vAlign w:val="bottom"/>
            <w:tcBorders>
              <w:lef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cash at a price equal to the greatest of:</w:t>
            </w:r>
          </w:p>
        </w:tc>
      </w:tr>
      <w:tr>
        <w:trPr>
          <w:trHeight w:val="432"/>
        </w:trPr>
        <w:tc>
          <w:tcPr>
            <w:tcW w:w="1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equity value of our common stock underlying the Notes, and</w:t>
            </w:r>
          </w:p>
        </w:tc>
      </w:tr>
      <w:tr>
        <w:trPr>
          <w:trHeight w:val="414"/>
        </w:trPr>
        <w:tc>
          <w:tcPr>
            <w:tcW w:w="1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equity value of the change of control consideration payable to the holders of our common stock</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underlying the Notes; or</w:t>
            </w:r>
          </w:p>
        </w:tc>
      </w:tr>
      <w:tr>
        <w:trPr>
          <w:trHeight w:val="414"/>
        </w:trPr>
        <w:tc>
          <w:tcPr>
            <w:tcW w:w="16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the kind and amount of cash, securities or other property receivable upon such change of control had such</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amount been converted at the Conversion Price in effect immediately prior to such change of control.</w:t>
            </w:r>
          </w:p>
        </w:tc>
      </w:tr>
      <w:tr>
        <w:trPr>
          <w:trHeight w:val="459"/>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Matters</w:t>
            </w:r>
          </w:p>
        </w:tc>
        <w:tc>
          <w:tcPr>
            <w:tcW w:w="440" w:type="dxa"/>
            <w:vAlign w:val="bottom"/>
          </w:tcPr>
          <w:p>
            <w:pPr>
              <w:spacing w:after="0"/>
              <w:rPr>
                <w:sz w:val="24"/>
                <w:szCs w:val="24"/>
                <w:color w:val="auto"/>
              </w:rPr>
            </w:pPr>
          </w:p>
        </w:tc>
        <w:tc>
          <w:tcPr>
            <w:tcW w:w="7960" w:type="dxa"/>
            <w:vAlign w:val="bottom"/>
            <w:tcBorders>
              <w:right w:val="single" w:sz="8" w:color="auto"/>
            </w:tcBorders>
          </w:tcPr>
          <w:p>
            <w:pPr>
              <w:spacing w:after="0"/>
              <w:rPr>
                <w:sz w:val="24"/>
                <w:szCs w:val="24"/>
                <w:color w:val="auto"/>
              </w:rPr>
            </w:pPr>
          </w:p>
        </w:tc>
      </w:tr>
      <w:tr>
        <w:trPr>
          <w:trHeight w:val="414"/>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 repay certain indebtedness and for other general</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purposes. See “Use of Proceeds” in this prospectus supplement.</w:t>
            </w:r>
          </w:p>
        </w:tc>
      </w:tr>
      <w:tr>
        <w:trPr>
          <w:trHeight w:val="414"/>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in this prospectus supplement and</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the  other  information  included  or  incorporated  by  reference  in  this  prospectus  supplement  and  the</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accompanying base prospectus for a discussion of factors you should carefully consider before deciding to</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invest in the Note or our common stock.</w:t>
            </w:r>
          </w:p>
        </w:tc>
      </w:tr>
      <w:tr>
        <w:trPr>
          <w:trHeight w:val="412"/>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Certain U.S. Federal Income Tax</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You should consult your tax advisor with respect to the U.S. federal income tax consequences of owning the</w:t>
            </w:r>
          </w:p>
        </w:tc>
      </w:tr>
      <w:tr>
        <w:trPr>
          <w:trHeight w:val="218"/>
        </w:trPr>
        <w:tc>
          <w:tcPr>
            <w:tcW w:w="160" w:type="dxa"/>
            <w:vAlign w:val="bottom"/>
            <w:tcBorders>
              <w:left w:val="single" w:sz="8" w:color="auto"/>
            </w:tcBorders>
          </w:tcPr>
          <w:p>
            <w:pPr>
              <w:spacing w:after="0"/>
              <w:rPr>
                <w:sz w:val="18"/>
                <w:szCs w:val="18"/>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Notes or any shares of common stock into which the Notes may be converted in light of your own particular</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situation and with respect to any tax consequences arising under the laws of any state, local, foreign or other</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taxing jurisdiction. See “Certain Material U.S. Federal Income Tax Considerations” in this prospectus</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supplement.</w:t>
            </w:r>
          </w:p>
        </w:tc>
      </w:tr>
      <w:tr>
        <w:trPr>
          <w:trHeight w:val="414"/>
        </w:trPr>
        <w:tc>
          <w:tcPr>
            <w:tcW w:w="160" w:type="dxa"/>
            <w:vAlign w:val="bottom"/>
            <w:tcBorders>
              <w:left w:val="single" w:sz="8" w:color="auto"/>
            </w:tcBorders>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NYSE American Symbol</w:t>
            </w:r>
            <w:r>
              <w:rPr>
                <w:rFonts w:ascii="Times New Roman" w:cs="Times New Roman" w:eastAsia="Times New Roman" w:hAnsi="Times New Roman"/>
                <w:sz w:val="18"/>
                <w:szCs w:val="18"/>
                <w:color w:val="auto"/>
              </w:rPr>
              <w:t>:</w:t>
            </w: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 public market currently exists for the Notes, and we do not intend to apply to list the Notes on any securities</w:t>
            </w:r>
          </w:p>
        </w:tc>
      </w:tr>
      <w:tr>
        <w:trPr>
          <w:trHeight w:val="216"/>
        </w:trPr>
        <w:tc>
          <w:tcPr>
            <w:tcW w:w="16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exchange or for quotation on any inter-dealer quotation system. Our common stock is listed on the NYSE</w:t>
            </w:r>
          </w:p>
        </w:tc>
      </w:tr>
      <w:tr>
        <w:trPr>
          <w:trHeight w:val="234"/>
        </w:trPr>
        <w:tc>
          <w:tcPr>
            <w:tcW w:w="160" w:type="dxa"/>
            <w:vAlign w:val="bottom"/>
            <w:tcBorders>
              <w:lef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American under the symbol “OPTT.”</w:t>
            </w:r>
          </w:p>
        </w:tc>
      </w:tr>
      <w:tr>
        <w:trPr>
          <w:trHeight w:val="226"/>
        </w:trPr>
        <w:tc>
          <w:tcPr>
            <w:tcW w:w="160" w:type="dxa"/>
            <w:vAlign w:val="bottom"/>
            <w:tcBorders>
              <w:left w:val="single" w:sz="8" w:color="auto"/>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960" w:type="dxa"/>
            <w:vAlign w:val="bottom"/>
            <w:tcBorders>
              <w:bottom w:val="single" w:sz="8" w:color="auto"/>
              <w:right w:val="single" w:sz="8" w:color="auto"/>
            </w:tcBorders>
          </w:tcPr>
          <w:p>
            <w:pPr>
              <w:spacing w:after="0"/>
              <w:rPr>
                <w:sz w:val="19"/>
                <w:szCs w:val="19"/>
                <w:color w:val="auto"/>
              </w:rPr>
            </w:pPr>
          </w:p>
        </w:tc>
      </w:tr>
      <w:tr>
        <w:trPr>
          <w:trHeight w:val="429"/>
        </w:trPr>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240"/>
          </w:cols>
          <w:pgMar w:left="320" w:top="68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substantial risk. You should carefully consider the risk factors disclosed below as well as those contained in our most recent Annual Report on Form 10-K, which is incorporated by reference herein, as updated by our subsequent filings under the Securities Exchange Act of 1934, as amended (the “Exchange Act”), and the other information contained in this prospectus supplement and the accompanying prospectus before acquiring any of our common stock. These risks could have a material adverse effect on our business, results of operations or financial condition and cause the value of our common stock to decline. You could lose all or part of your investment.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and the accompanying prospectus also contain or incorporate by reference forward-looking statements that involve risks and uncertainties. Our actual results could differ materially from those anticipated in the forward-looking statements as a result of certain factors, including the risks faced by us described or incorporated by reference in this prospectus supplement and the accompanying prospectus. See “Cautionary Note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obligations under the Notes.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make payments of principal or to pay interest on or to refinance the Notes depends on our future performance, which is subject to economic, financial, competitive and other factors, some of which are beyond our control. Our business may not continue to generate cash flow from operations in the future sufficient to satisfy our obligations under the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Notes will depend on the capital markets and our financial condition at such time. We may not be able to engage in any of these activities or engage in these activities on desirable terms, which could result in a default on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existing trading market for the Notes.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existing trading market for the Notes. We do not intend to apply for listing of the Notes on any securities exchange or to arrange for quotation on any interdealer quotation system. It is unlikely that an active trading market will develop for the Notes. Unless an active trading market develops, you may not be able to sell the Notes at a particular time or at a favorable price.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the Notes will not be entitled to any rights with respect to our common stock but will be subject to all changes made with respect to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limited contractual rights, the holders of the Notes will not be entitled to any rights with respect to our common stock until the Notes are converted, but will be subject to all changes affecting our common stock. For example, if an amendment is proposed to our certificate of incorporation requiring stockholder approval and the record date for determining the stockholders of record entitled to vote on the amendment occurs prior to the relevant holder acquiring shares of our common stock as a result of conversion of such holder’s Note, such holder will not be entitled to vote on the amendment, although such holder will nevertheless be subject to any changes in the powers, preferences or special rights of our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conversion of the Notes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one or more investors in the Notes sell shares of our common stock issued upon conversion of the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Notes in this offering, you may experience future dilution as a result of future equity offerings, convertible debt offerings or other equity issuances.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and issue additional shares of our common stock or other securities convertible into or exchangeable for shares of our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common stock or other securities convertible into or exchangeable for shares of our common stock in future transactions may be higher or lower than the price per share in previous offerings. Further, we may choose to raise additional capital due to market conditions or strategic considerations, even if we believe we have sufficient funds for our current or future operating plans. In addition, the exercise of outstanding stock options and warrants or the settlement of outstanding restricted stock units, or the issuance of shares of our common stock upon conversion of Notes, would result in further dilution of your investment. The issuance of such additional shares of our common stock (including pursuant to the exercise of outstanding stock options or warrants or the conversion of Notes), or securities convertible into or exchangeable or exercisable for shares of our common stock, may result in downward pressure on the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Notes may deter or prevent a business combination that may be favorable to you.</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terms of the Notes, we are prohibited from engaging in certain mergers or acquisitions unless, among other things, the surviving entity in certain circumstances assumes our obligations under the Notes. In addition, the terms of the Notes require us to offer to purchase the Notes for cash in the event of a change of control. A non-stock takeover of our company may trigger the requirement that we purchase the Notes. These and other provisions could prevent or deter a third party from acquiring us, even where the acquisition could be beneficial to you.</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are a U.S. holder, you may be deemed to receive a taxable distribution without the receipt of any cash or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conversion rate of the Notes is subject to adjustment in certain circumstances. Adjustments to the conversion rate of the Notes that have the effect of increasing your proportionate interest in our assets or “earnings and profits” may in some circumstances result in a constructive distribution subject to U.S. federal income tax without the receipt of any cash. You are urged to consult your tax advisors with respect to the U.S. federal income tax consequences resulting from an adjustment to the conversion rate of the Notes. See “Certain Material U.S. Federal Income Tax Considerations.”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common stock could incur substantial losses as a result.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common stock, or securities convertible into or exercisable for our common stock, could incur substantial losses relating to their investment in our stock as a result.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8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business or with respect to our projects;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or annual 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660" w:right="10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conventional and renewable energy industries and issuance of new or changed securities analysts’ reports or recommendations;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cover our common stock or changes in financial estimates by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the financial estimates of analysts who follow our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of our targeted markets;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valuation of our business may fluctuate due to factors beyond our control and the value of the investment of our stockholders may fluctuate correspondingly.</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market valuation of our business frequently fluctuates due to factors unrelated to the past or present operating performance of such companies.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valuation may fluctuate significantly in response to a number of factors, many of which are beyond our control, including:</w:t>
      </w:r>
    </w:p>
    <w:p>
      <w:pPr>
        <w:spacing w:after="0" w:line="20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new technologies, acquisitions, commercial relationships, joint ventures or capital commitments;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of failure to complete significant commercial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relationship with a partner;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value of your investment may fluctuate.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shares may be sold in the market following this offering, which may depress the market price of our 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shares of common stock issuable upon conversion of the Notes will be freely tradable without restriction or further registration under the Securities Act. As a result, a substantial number of our shares of common stock may be sold in the public market following this offering, which may cause the market price of our common stock to decline.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 of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net proceeds to be received by us from these offerings are expected to be approximately $9.8 million, after deducting fees and estimated offering expenses.</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this offering will be used to repay a portion of the $3.9 million outstanding Series B-1 Senior Convertible Notes issued May 15, 2025 and the $2.7 million outstanding Series B-2 Senior Convertible Notes issued on October 7, 2025. Any remaining net proceeds will be used for other general corporate purposes.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Class B-1 and Class B-2 Notes do not bear interest except upon the occurrence and during the continuance of an event of default, but are convertible at any time subject to the beneficial ownership limitations in the notes and the rules of the NYSE American limiting share issuances. The proceeds of the borrowings from the offering of the notes were used for to build additional products and solutions to meet market demand, further advance the development of new products and solutions, engage in corporate development and merger and acquisition activities, for working capital needs, capital expenditures and other general corporate purposes.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offering $10,000,000 aggregate principal amount of our Series C-1 senior convertible notes (“Notes”), which Notes are convertible into shares of our common stock, par value $0.001 per share, under certain conditions more fully described below. The Notes are being sold pursuant to this prospectus supplement and the terms of the securities purchase agreement dated as of April 1, 2026 (the “Securities Purchase Agreement”) between us and the purchaser(s) of the Notes. This prospectus supplement also covers the shares of our common stock issuable from time to time upon conversion or otherwise under the Notes.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Notes and supplements the information under the heading “Description of Debt Securities” in the accompanying prospectus and, to the extent it is inconsistent, replaces the description in the accompanying prospectus. It does not purport to be complete. This summary is subject to and is qualified by reference to all the provisions of the Notes, including the definitions of certain terms used therein. We urge you to read these documents and the Securities Purchase Agreement because they, and not this description, define your rights as a holder of the Notes. You may request copies of the form of Note and the Securities Purchase Agreement as set forth under the caption “Where You Can Find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closing of this offering, we will issue $10,000,000 in aggregate principal amount of Notes to certain institutional investors.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Unless earlier converted, or redeemed, the Notes will mature on the eighteen month anniversary of the issuance date, which we refer to herein as the “Maturity Date,” at a 13% premium to the face value of the Notes (the “Redemption Value”), subject to:</w:t>
      </w:r>
    </w:p>
    <w:p>
      <w:pPr>
        <w:spacing w:after="0" w:line="162" w:lineRule="exact"/>
        <w:rPr>
          <w:sz w:val="20"/>
          <w:szCs w:val="20"/>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investors to extend the date for a period of 20 business days after the consummation of a fundamental transaction if certain events occur; and/or</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us and the investors to mutually agree to extend the date if an event of default under the Notes has occurred and is continuing (or any event shall have occurred and be continuing that with the passage of time and the failure to cure would result in an event of default under the Notes).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on the Maturity Date, all outstanding principal, accrued and unpaid interest and accrued and unpaid late charges on such principal and interest, if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bear interest at an interest rate of 4.5% per annum except upon the occurrence and continuance of an event of default, in which case the interest rate becomes 13.0% per annum, or the “Default Rate” (see “— Events of Default” below). If a holder elects to convert, redeem or otherwise repay all or any portion of a Note prior to the Maturity Date, all accrued and unpaid interest on the amount being converted or redeemed will also be payable. The holders will also be entitled to a make-whole amount in connection with any conversion, redemption or other repayment equal to the amount of interest that would have accrued under the Notes as to the amount of such conversion, redemption or other repayment if the Notes had remained outstanding through and including the maturity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Security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senior unsecured obligations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 Charges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a late charge of 13.0% on any amount of principal or other amounts that are not paid when due (solely to the extent such amounts are not then accruing interest at the Default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Conversions at Option of Holder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any time after the issuance date, the Notes will be convertible at $0.40, at any time, in whole or in part, at the option of the holder and subject to certain beneficial ownership limitations.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Fixed Conversion Price is subject to proportional adjustment upon the occurrence of any stock split, stock dividend, stock combination and/or similar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Beneficial Ownership Limitation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Conversions and issuance of our common stock pursuant to the Notes are prohibited if such conversion or issuance would cause the applicable holder (together with its affiliates) to beneficially own in excess of 4.99% of the outstanding shares of our common stock (which percentage is subject to increase to 9.99% or decrease, at the option of such holder, except that any raise will only be effective upon 61-days’ prior notice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contain standard and customary events of default including, among others,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our common stock to be trading or listed on an eligible stock exchange for a period of five consecutive trading days;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deliver shares of common stock upon conversion of the Notes within prescribed timeframes;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required reserves of shares of our common stock to be issued upon conversion of the Notes;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to any amount due under the Notes when and as due (subject to any applicable cure periods);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unscheduled redemption or acceleration of maturity of at least an aggregate of $400,000 of Indebtedness (as defined in the Securities Purchase Agreement) of the Company or any of its subsidiaries, other than with respect to any other Notes issued pursuant to the Securities Purchase Agreement;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bankruptcy, insolvency, reorganization or liquidation proceedings or other proceedings for the relief of debtors shall be instituted by or against us or any subsidiary and, if instituted against us or any subsidiary by a third party, shall not be dismissed within sixty (60) days of their initiation;</w:t>
      </w:r>
    </w:p>
    <w:p>
      <w:pPr>
        <w:spacing w:after="0" w:line="175" w:lineRule="exact"/>
        <w:rPr>
          <w:rFonts w:ascii="Times New Roman" w:cs="Times New Roman" w:eastAsia="Times New Roman" w:hAnsi="Times New Roman"/>
          <w:sz w:val="18"/>
          <w:szCs w:val="18"/>
          <w:color w:val="auto"/>
        </w:rPr>
      </w:pPr>
    </w:p>
    <w:p>
      <w:pPr>
        <w:ind w:left="660" w:hanging="328"/>
        <w:spacing w:after="0" w:line="31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by us or any subsidiary of a voluntary case or proceeding under any applicable federal, state or foreign bankruptcy, insolvency, reorganization or other similar law or of any other case or proceeding to be adjudicated a bankrupt or insolvent, or similar occurrences;</w:t>
      </w:r>
    </w:p>
    <w:p>
      <w:pPr>
        <w:spacing w:after="0" w:line="139"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$400,000 are rendered against the Company and/or any of its subsidiaries and which judgments are not, within 30 days after the entry thereof, bonded, discharged, settled or stayed pending appeal, or are not discharged within 30 days after the expiration of such stay, subject to specified exceptions;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fails to pay, when due, or within any applicable grace period, any payment with respect to any Indebtedness in excess of $400,000 due to any third party or is otherwise in breach or violation of any agreement for monies owed or owing in an amount in excess of $400,000 (subject to certain Indebtedness exceptions), which breach or violation permits the other party thereto to declare a default or otherwise accelerate amounts due thereunder;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by the Company of any representation or warranty in any material respect, or any covenant or other term or condition of any transaction document associated with this offering;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 materially false or inaccurate certification by the Company as to whether any event of default has occurred or certain other conditions have not been achieved or maintained;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failure in any respect by the Company or any subsidiary to comply with certain covenants specified in the Notes (subject to any applicable cure periods);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Material Adverse Effect (as defined in the Securities Purchase Agreement) occurs;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any other Notes issued pursuant to the Securities Purchase Agreement) occurs with respect to any Other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Holder Redemption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Event of Default Redemption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an event of default, each holder of Notes may require us to redeem in cash all, or any portion, of the Notes at the greater of (i) the face value of our common stock underlying the Notes at a 15% premium and (ii) the equity value of our common stock underlying the Notes.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equity value of our common stock underlying the Notes is calculated using the greatest closing sale price of our common stock during the period immediately preceding such event of default and ending when we make the entire payment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Bankruptcy Event of Default Mandatory Redemption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any bankruptcy event of default occurs, we shall immediately redeem in cash all, or any portion of the Notes at a 15% redemption premium, unless each holder waives such right to receive payment.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of Control Redemption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a change of control of the Company, each holder may require us to redeem in cash all, or any portion, of the amounts due under the Notes at a price equal to the greatest of:</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our common stock underlying the Notes,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value of the change of control consideration payable to the holders of our common stock underlying the Notes.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equity value of our shares of common stock underlying the Notes is calculated using the greatest closing sale price of our shares of common stock during the period immediately preceding the consummation or the public announcement of the change of control and ending on the date the holders give notice of such redemption.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equity value of the change of control consideration payable to the holders of our shares of common stock underlying the Notes is calculated using the aggregate cash consideration per share of our shares of common stocks to be paid to the holders of our shares of common stock upon the change of control.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Subsequent Placement Redemption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the Notes may require us to redeem the Notes, in whole or in part, upon the occurrence of certain offerings of equity or equity-linked securities. In such an event, we would be required to redeem Notes using up to 30% of the net proceeds of such an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on the closing date, the Notes amortize quarterly. On each such three-month anniversary of the issuance date of the Notes, the Company will redeem in cash a portion of the Notes equal to the sum of (A) the lesser of (x) the quotient of (I) 113% of the initial outstanding principal amount of the Notes divided by (II) six (6) and (y) 113% of the principal value then outstanding as of such date (subject to reduction with respect to any deferral to any later date), (B) any amount deferred to, and included in, such amortization amount in accordance with the Notes, (C) any make-whole amount as of such date with respect to such principal value then outstanding as of such date, (D) the sum of any accrued and unpaid interest on the Notes as of such date with respect to such principal value then outstanding as of such date, (E) any accrued and unpaid late charges pursuant to the Notes, if any, as of such date with respect, and (F) any other unpaid amounts pursuant to any transaction document associated with this offering, if any, due or overdue as of such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the Notes has the option to defer individual amortization payments to a later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Redemption Right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Company Change of Control Redemption Right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 change of control of the Company, as long as no Event of Default has occurred and is continuing, the Company may require a holder to redeem all, or any portion, of the amounts due under the Notes, at such holder’s election, either:</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at a price equal to the greatest of: (i) the equity value of our common stock underlying the Notes, and (ii) the equity value of the change of control consideration payable to the holders of our common stock underlying the Notes;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kind and amount of cash, securities or other property receivable upon such change of control had such amount been converted at the Conversion Price in effect immediately prior to such change of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Notes contain a variety of obligations on our part not to engage in specified activities, which are typical for transactions of this type, as well as the following covenants: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incur any indebtedness except for permitted indebtedness, subject to certain exceptions;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redeem or repay, subject to specified exceptions, all or any portion of any indebtedness (other than the Notes) if at the time the payment is due or is made or, after giving effect to the payment, an event constituting, or that with the passage of time and without being cured would constitute, an event of default under the Notes has occurred and is continuing;</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engage in a material line of business substantially different from those lines of business as of the date of the issuance of the Notes;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maintain and our existence, rights, and privileges, to become or remain, duly qualified and in good standing in each jurisdiction in which the transaction of its business makes such qualification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take all action necessary or advisable to maintain all of our intellectual property rights that are necessary or material to the conduct of its business in full force and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maintain insurance in such amounts and covering such risks as is required by any governmental authority having jurisdiction with respect thereto or as is in accordance with sound business practice by similarly situated companies;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subsidiaries will not, (directly or indirectly), enter into, renew, extend or be a party to, any transaction or series of related transactions with any affiliate, except transactions in the ordinary course of business and on terms that are comparable to an arm’s length transaction with a non-affiliate;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directly or indirectly, without the prior written consent of the holders of a majority in aggregate principal amount of the Notes then outstanding, (i) issue any Notes (other than as contemplated by the Securities Purchase Agreement and the Notes) or (ii) issue any other securities that would cause a breach or default under the Notes;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maintain a minimum balance of available cash of $2.0 million as of the end of each fiscal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Notes will be governed by, and construed in accordance with, the laws of New York without regard to its conflicts of law principles.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starting on page 24 of the accompanying prospectus.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NOTES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section is a discussion of the material U.S. federal income tax considerations to a U.S. holder relating to (i) the purchase, ownership, disposition and conversion of the Note, and (ii) the ownership and disposition of the common stock into which the Note may be converted. This summary does not provide a complete analysis of all potential U.S. federal income tax considerations. The information provided below is based on existing U.S. federal income tax authorities, all of which are subject to change or differing interpretations, possibly with retroactive effect. We cannot give any assurances that the Internal Revenue Service (the “IRS”) will not challenge one or more of the tax consequences described herein, and we have not obtained, nor do we intend to obtain, a ruling from the IRS with respect to the U.S. federal income tax consequences of purchasing, owning, disposing of or converting the Note, or owning or disposing of the common stock into which the Note may be converted. The summary generally applies only to U.S. holders of the Note who acquire the Note offered in this offering on original issuance, and that hold the Note (or common stock into which the Note may be converted) as “capital assets” within the meaning of Section 1221 of the Internal Revenue Code of 1986, as amended (the “Code”) (generally, property held for investment). This discussion does not purport to deal with all aspects of U.S. federal income taxation that may be relevant to a particular beneficial owner in light of the beneficial owner’s circumstances (for example, persons subject to the alternative minimum tax provisions of the Code, or a U.S. holder (as defined below) whose “functional currency” is not the U.S. dollar). Also, this discussion is not intended to be wholly applicable to all categories of investors, some of which may be subject to special rules (such as partnerships and pass-through entities and investors in such entities, dealers in securities or currencies, traders in securities that elect to use a mark-to-market method of accounting, banks, thrifts, regulated investment companies, real estate investment trusts, insurance companies, tax-exempt entities, tax-deferred or other retirement accounts, certain former citizens or residents of the United States, persons holding the Note or common stock as part of a hedging, conversion or integrated transaction or a straddle, persons that own, or are deemed to own, more than 5% of our common stock, persons deemed to sell the Note or common stock under the constructive sale provisions of the Code, or persons required under Section 451(b) of the Code to conform the timing of income accruals with respect to the Note or common stock to their financial statements). Finally, the summary does not address the potential application of the Medicare contribution tax on net investment income, the effects of the U.S. federal estate and gift tax laws or any applicable non-U.S., state or local laws.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 INVESTOR CONSIDERING THE PURCHASE OF THE NOTE SHOULD CONSULT THE INVESTOR’S OWN TAX ADVISORS REGARDING THE APPLICATION OF THE U.S. FEDERAL INCOME TAX LAWS TO ANY PARTICULAR SITUATIONS AND THE CONSEQUENCES OF U.S. FEDERAL ESTATE AND GIFT TAX LAWS, NON-U.S., STATE AND LOCAL LAWS, AND TAX TREATIES.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the Note or the common stock into which the Note may be converted that, for U.S. federal income tax purposes is (1) an individual who is a citizen or resident of the United States, (2) a corporation, or an entity treated as a corporation for U.S. federal income tax purposes, created or organized in or under the laws of the United States or any state of the United States, or the District of Columbia, (3) an estate the income of which is subject to U.S. federal income taxation regardless of its source, or (4) a trust if it (x) is subject to the primary supervision of a U.S. court and one or more U.S. persons have the authority to control all substantial decisions of the trust or (y) has a valid election in effect under applicable U.S. Treasury regulations to be treated as a U.S. person.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domestic or foreign, treated as a partnership for U.S. federal income tax purposes) is a beneficial owner of the Note or common stock acquired upon conversion of the Note, the tax treatment of a partner in the partnership will depend upon the status of the partner and the activities of the partnership. A beneficial owner of the Note or common stock acquired upon conversion of the Note that is a partnership, and partners in such partnership, should consult their own tax advisors about the U.S. federal income tax consequences of purchasing, owning, disposing of, or converting the Note, and owning and disposing of the common stock into which the Note may be converted.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Interest and Original Issue Discount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U.S. federal income tax purposes, the Note will have original issue discount (“OID”) if the excess of the stated redemption price at maturity over its issue price is greater than or equal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(generally 1⁄4 of 1% of the stated redemption price at maturity multiplied by the number of complete years to maturity from the issue date). The issue price of the Note will be equal to the price at which the Note is sold. The stated redemption price at maturity of the Note is the sum of all payments other than payments of “qualified stated interest”. “Qualified stated interest” includes stated interest that is unconditionally payable in cash or property (other than debt instruments of the issuer) at least annually at a single fixed rate (with certain exceptions for lower rates paid during some periods) or certain variable rates as described below. Interest is payable at a single fixed rate only if the rate appropriately takes into account the length of the interval between payments.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spacing w:after="0" w:line="253" w:lineRule="auto"/>
        <w:rPr>
          <w:sz w:val="20"/>
          <w:szCs w:val="20"/>
          <w:color w:val="auto"/>
        </w:rPr>
      </w:pPr>
      <w:r>
        <w:rPr>
          <w:rFonts w:ascii="Times New Roman" w:cs="Times New Roman" w:eastAsia="Times New Roman" w:hAnsi="Times New Roman"/>
          <w:sz w:val="18"/>
          <w:szCs w:val="18"/>
          <w:color w:val="auto"/>
        </w:rPr>
        <w:t>The amount of OID includible in taxable income of a U.S. holder is the sum of the daily portions of OID with respect to the Note for each day during the taxable year on which the Note is held. Generally, the daily portion of OID is determined by allocating to each day in any “accrual period” a ratable portion of the OID allocable to such accrual period. A U.S. Holder may select the “accrual periods” for the Note, which may be of any length, and may vary in length over the term of the Note, provided that each accrual period is no longer than one year and each scheduled payment of principal or interest occurs either on the first day or final day of an accrual period. The amount of OID allocable to each accrual period is equal to the excess (if any) of (a) the product of the Note’s adjusted issue price at the beginning of such accrual period and its yield to maturity (determined on a constant yield basis, compounded at the close of each accrual period and adjusted for the length of such accrual period), over (b) the amount of qualified stated interest, if any, payable on the Note and allocable to such accrual period. The “adjusted issue price” of the Note at the beginning of any accrual period generally is the issue price of the Note increased by the accrued OID allocable for all prior accrual periods and reduced by any prior payment on the Note other than a payment of qualified stated interest. Under these rules, a U.S. holder generally will have to include in taxable income increasingly greater amounts of OID in successive accrual periods.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Note will be treated as issued with OID for U.S. federal income tax purposes because the amount payable at maturity (at a premium of 13% of the face value of the Note) exceeds the issue price by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The amount of OID on the Note will be equal to such difference between the amount payable at maturity and the issue price of the Note. None of the payments on the Note constitutes qualified stated interest. A U.S. holder, whether on the cash or accrual method for U.S. federal income tax purposes, must include any OID in gross income (as ordinary income) as the OID accrues (on a constant yield to maturity basis), regardless of whether cash attributable to that income is received at such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 Other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required to make payments of additional interest to a U.S. holder of the Note (for example, if an Event of Default occurs). We believe that there is only a remote possibility that we would be required to pay additional interest, or that if such additional interest were required to be paid, it would be an incidental amount, and therefore we intend to take the position that this possible payment of additional interest will not subject the Note to the special rules governing certain contingent payment debt instruments (which, if applicable, would affect the timing, amount and character of income with respect to the Note).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certain circumstances, we might redeem the Note before its scheduled redemption date for an amount different than its general redemption price at maturity equal to 113% of the face value of the Note. We likewise believe there is only a remote possibility that we will redeem the Note under such circumstances in a manner that would subject the Note to the special rules governing such contingent payment debt instruments.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determination in these regards, while not binding on the IRS, is binding on a U.S. holder unless disclosure of a contrary position is made in the manner required by applicable Treasury regulations. The remainder of this discussion assumes that the Note is not treated as a contingent payment debt instrument. If the Note were treated as a contingent payment debt instrument the tax consequences with respect to the acquisition, holding, conversion, redemption and other disposition of the Note could be materially different. If, contrary to our expectations, we pay additional interest, although not free from doubt, such additional interest should be taxable to a U.S. holder as ordinary interest income at the time the additional interest accrues or is paid in accordance with the U.S. holder’s regular method of tax accounting. In the event we pay additional interest on the Note, U.S. holders should consult their own tax advisors regarding the treatment of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the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capital gain or loss if the holder disposes of the Note in a sale, exchange, redemption or other taxable disposition (other than conversion of the Note into shares of our common stock or into a combination of cash and shares of our common stock, the U.S. federal income tax consequences of which are described under “—Conversion of the Note” below). The U.S. holder’s gain or loss will equal the difference between the amount realized by the holder (other than amounts attributable to accrued but unpaid interest) and the holder’s tax basis in the Note. The amount realized by the U.S. holder will include the amount of any cash and the fair market value of any other property received for the Note. The U.S. holder’s tax basis in the Note generally will equal the amount the holder paid for the Note. The portion of any amount realized that is attributable to accrued interest will not be taken into account in computing the U.S. holder’s capital gain or loss. Instead, that portion will be taxed as ordinary interest income as described above to the extent that the U.S. holder has not previously included the accrued interest in income. The gain or loss recognized by the U.S. holder on the disposition of the Note generally will be long-term capital gain or loss if the holder has held the Note for more than one year, or short-term capital gain or loss if the holder held the Note for one year or less, at the time of the transaction. Long-term capital gain of non-corporate taxpayers generally is taxed at reduced rates. Short-term capital gain is taxed at ordinary income rates. The deductibility of capital losses is subject to limitations.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U.S. holder generally will not recognize any income, gain or loss on the conversion of the Note into shares of our common stock, subject to the discussion under “—Constructive Distributions” below regarding the possibility that certain adjustments to the conversion rate of the Note may be treated as a taxable dividend. The U.S. holder’s aggregate tax basis in the common stock will equal the U.S. holder’s tax basis in the Note. The U.S. holder’s holding period in the common stock will include the holding period in the Note.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amounts received attributable to accrued and unpaid interest on the Note not yet included in income by a U.S. holder will be taxed as ordinary income. A U.S. holder that converts the Note between a record date for an interest payment and the next interest payment date and consequently receives a payment of cash interest should consult the holder’s own tax advisor concerning the appropriate treatment of such payment.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undergo certain corporate transactions, the conversion obligation may be adjusted so that a holder would be entitled to convert the Note into the type of consideration that would have been received upon such corporate transaction had the Note been converted into our common stock immediately prior to such corporate transaction. Depending on the facts and circumstances at the time of such corporate transaction, such adjustment may result in a deemed exchange of the outstanding Note, which may be a taxable event for U.S. federal income tax purposes. Regardless of whether such an adjustment results in a deemed exchange, a conversion of the Note into such consideration might be a taxable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 holders are urged to consult their own tax advisors regarding the U.S. federal income tax consequences of such an adjustment upon a corporate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after a U.S. holder acquires any of our common stock upon a conversion of the Note, we make a distribution in respect of such common stock from our current or accumulated earnings and profits (as determined under U.S. federal income tax principles), the distribution generally will be treated as a dividend to the extent of such current or accumulated earnings and profits; and will be includible in a U.S. holder’s income at the time such holder is treated as receiving such distribution for U.S. federal income tax purposes. If the distribution exceeds our current and accumulated earnings and profits, the excess will be treated first as a tax-free return of the U.S. holder’s investment, up to the U.S. holder’s tax basis in its common stock, and any remaining excess will be treated as capital gain from the sale or exchange of the common stock (as described above under “—Sale, Exchange or Other Taxable Disposition of Common Stock”). If the U.S. holder is a U.S. corporation, it would generally be able to claim a dividends received deduction on a portion of any distribution taxed as a dividend, provided that certain holding period and other requirements are satisfied. Subject to certain exceptions, dividends received by non-corporate U.S. holders are taxed at the reduced rates applicable to long-term capital gains, provided that certain holding period requirements are met.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Distributions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Note allow for changes in the conversion rate of the Note under certain circumstances. A change in conversion rate that allows a U.S. holder to receive more shares of common stock on conversion may increase such holder’s proportionate interests in our earnings and profits or assets. In that case, a U.S. holder may be treated as having received a taxable distribution. A taxable constructive distribution would result, for example, if the conversion rate is adjusted to compensate a U.S. holder for distributions of cash or property to our stockholders. If an event occurs that dilutes the interests of stockholders or increases the interests of a U.S. holders of the Note and the conversion rate of the Note is not adjusted (or not adequately adjusted), this event also could result in a taxable constructive distribution to the U.S. holder. Conversely, if an event occurs that dilutes the interests of a U.S. holder of the Note and the conversion rate is not adjusted (or not adequately adjusted), the resulting increase in the proportionate interests of our stockholders could be treated as a taxable constructive distribution to the stockholders.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Not all changes in the conversion rate that result in a U.S. holder of the Note receiving more common stock on conversion, however, increase such holder’s proportionate interests in our earnings and profits or assets. For instance, a change in conversion rate could simply prevent the dilution of the holder’s interests upon a stock split or other change in capital structure. Changes of this type, if made pursuant to a bona fide reasonable adjustment formula, are not treated as taxable constructive stock distributions. Any taxable constructive distribution resulting from a change to, or failure to change, the conversion rate would be treated for U.S. federal income tax purposes in the same manner as an actual distribution on our common stock paid in cash or other property, as described above under “—Distributions.” Generally, a U.S. holder’s adjusted tax basis in the Note will be increased to the extent of any such taxable constructive distribution that is treated as a dividend. U.S. holders should consult their own tax advisors regarding whether any taxable constructive dividends would be eligible for the dividends received deduction (for corporate holders) or the reduced rates described above under “—Distributions” (for non-corporate holders), as the requisite applicable holding periods might not be considered to be satisfied.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required to report the amount of any deemed distributions on our website or to the IRS and any holder of the Note not exempt from reporting. Proposed regulations address the amount and timing of deemed distributions, obligations of withholding agents and filing and notice obligations of issuers. If adopted as proposed, the regulations would generally provide that (i) the amount of a deemed distribution is the excess of the fair market value of the right to acquire stock immediately after the conversion rate adjustment over the fair market value of the right to acquire stock without the adjustment,</w:t>
      </w:r>
    </w:p>
    <w:p>
      <w:pPr>
        <w:spacing w:after="0" w:line="3" w:lineRule="exact"/>
        <w:rPr>
          <w:sz w:val="20"/>
          <w:szCs w:val="20"/>
          <w:color w:val="auto"/>
        </w:rPr>
      </w:pPr>
    </w:p>
    <w:p>
      <w:pPr>
        <w:jc w:val="both"/>
        <w:ind w:firstLine="8"/>
        <w:spacing w:after="0" w:line="253"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distribution occurs at the earlier of the date the adjustment occurs under the terms of the Note and the date of the actual distribution of cash or property that results in the deemed distribution, and (iii) we are required to report the amount of any deemed distributions on our website or to the IRS and any holder of the Note (including a holder of the Note that would otherwise be exempt from information reporting). The final regulations will be effective for deemed distributions occurring on or after the date of adoption, but a holder of the Note and withholding agents may rely on the proposed regulations prior to that date under certain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Effect of a Consolidation or Merger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certain situations, we may consolidate or merge into another entity. Depending on the circumstances, a change in the obligor of the Note as a result of the consolidation or merger could result in a deemed exchange of the outstanding Note, which may be a taxable event for U.S. federal income tax purposes. U.S. holders are urged to consult their own tax advisors regarding the U.S. federal income tax consequences of such a consolidation or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U.S. holder generally will recognize capital gain or loss on a sale, exchange or other taxable disposition of common stock. The U.S. holder’s gain or loss will equal the difference between the proceeds received by the U.S. holder and the U.S. holder’s tax basis in the common stock. The proceeds received by the U.S. holder will include the amount of any cash and the fair market value of any other property received for the common stock. The gain or loss recognized by a U.S. holder on a sale, exchange or other taxable disposition of common stock will be long-term capital gain or loss if the U.S. holder’s holding period in the common stock is more than one year, or short-term capital gain or loss if the U.S. holder’s holding period in the common stock is one year or less, at the time of the transaction. Long-term capital gain of non-corporate taxpayers generally is taxed at reduced rates. Short-term capital gain is taxed at ordinary income rates. The deductibility of capital losses is subject to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generally apply to OID accrued on the Note, any interest paid on the Note, dividends paid on the common stock (and constructive dividends paid on the Note) and proceeds from a sale or other taxable disposition of the Note, unless the U.S. holder is an exempt recipient (such as a corporation). Backup withholding (currently at a 24% rate) will apply to those payments if the U.S. holder fails to provide the U.S. holder’s correct taxpayer identification number, or certification of exempt status, or if the U.S. holder is notified by the IRS that the U.S. holder has failed to report in full payments of interest and dividend income. Backup withholding is not an additional tax. Any amounts withheld under the backup withholding rules generally are allowed as a refund or a credit against a U.S. holder’s U.S. federal income tax liability, provided that the required information is furnished timely to the IRS. U.S. holders should consult their tax advisors regarding their information reporting and backup withholding obligations in their particular circumstances.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IN THIS SECTION IS FOR GENERAL INFORMATION ONLY AND IS NOT TAX ADVICE. U.S. HOLDERS SHOULD CONSULT THEIR TAX ADVISORS REGARDING THE U.S. FEDERAL, STATE, AND LOCAL AND NON-U.S. INCOME AND NON-INCOME TAX CONSEQUENCES OF THE PURCHASE, OWNERSHIP, DISPOSITION, AND CONVERSION OF THE NOTE, AND THE OWNERSHIP AND DISPOSITION OF THE COMMON STOCK IN THEIR PARTICULAR CIRCUMSTANCES, INCLUDING ANY INFORMATION REPORTING REQUIREMENTS AND THE IMPACT OF ANY POTENTIAL CHANGE IN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this offering were subject to market conditions and negotiations between us and the investors. We entered into the Securities Purchase Agreement directly with institutional investors who have agreed to purchase the Notes and shares issuable upon conversion of the Notes. We will only sell such securities to investors who have entered into the Securities Purchase Agreement. The form of securities purchase agreement is included as an exhibit to a Current Report on Form 8-K that we filed with the SEC and that is incorporated by reference into the registration statement of which this prospectus supplement forms a part.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that the closing of the sale of the Notes is expected to take place on or about April 1, 2026, subject to satisfaction of certain conditions. We estimate that the net proceeds from the sale of the Notes offered under this prospectus supplement will be approximately $9.8 million, after deducting estimated offering expenses payable by us. Our obligation to issue the shares of our common stock issuable upon conversion of the Notes to the noteholders is subject to the terms and conditions set forth in the Notes and the Securities Purchase Agreement, including restrictions on our ability to issue any other securities at any time any Notes remain outstanding.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intend to apply to list the Notes on any securities exchange or for quotation on any inter-dealer quotation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transfer agent is Computershare Transfer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and other legal matters concerning this offering will be passed on for us by Porter Hedges LLP, Houston, Texas.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20, 2024, and the related consolidated statements of operations, shareholders’ equity, and cash flows for the year then ended, have been audited by EisnerAmper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Ocean Power Technologies, Inc. and subsidiaries as of April 30, 2025 and the related consolidated statement of operations, shareholders’ equity, and cash flows for the year then ended incorporated in this prospectus by reference from the Annual Report on Form 10-K of the Company for the year ended April 30, 2025, have been audited by Baker Tilly US, LLP, an independent registered public accounting firm, as stated in their report which is incorporated herein by reference. Such consolidated financial statements have been so incorporated in reliance upon the report of such firm given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DOCUMENTS INCORPORATED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April 30, 2025, filed with the SEC on July 24, 2025 (File No. 001-33417);</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fiscal quarters ended July 31, 2025, October 31, 2025, and January 31, 2026, filed with the SEC on </w:t>
      </w:r>
      <w:hyperlink r:id="rId31">
        <w:r>
          <w:rPr>
            <w:rFonts w:ascii="Times New Roman" w:cs="Times New Roman" w:eastAsia="Times New Roman" w:hAnsi="Times New Roman"/>
            <w:sz w:val="18"/>
            <w:szCs w:val="18"/>
            <w:u w:val="single" w:color="auto"/>
            <w:color w:val="0000EE"/>
          </w:rPr>
          <w:t>September 15,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December 15,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EE"/>
          </w:rPr>
          <w:t>March 17, 2026</w:t>
        </w:r>
      </w:hyperlink>
      <w:r>
        <w:rPr>
          <w:rFonts w:ascii="Times New Roman" w:cs="Times New Roman" w:eastAsia="Times New Roman" w:hAnsi="Times New Roman"/>
          <w:sz w:val="18"/>
          <w:szCs w:val="18"/>
          <w:color w:val="auto"/>
        </w:rPr>
        <w:t>, respectively (File No. 001-33417);</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9"/>
        </w:numPr>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auto"/>
          </w:rPr>
          <w:t xml:space="preserve">our Current Reports on Form 8-K and Form 8-K/A, filed with the SEC on </w:t>
        </w:r>
        <w:r>
          <w:rPr>
            <w:rFonts w:ascii="Times New Roman" w:cs="Times New Roman" w:eastAsia="Times New Roman" w:hAnsi="Times New Roman"/>
            <w:sz w:val="18"/>
            <w:szCs w:val="18"/>
            <w:u w:val="single" w:color="auto"/>
            <w:color w:val="0000EE"/>
          </w:rPr>
          <w:t>May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27,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June 6,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June 30,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July 14,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July 25,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August 5,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August 8,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1">
        <w:r>
          <w:rPr>
            <w:rFonts w:ascii="Times New Roman" w:cs="Times New Roman" w:eastAsia="Times New Roman" w:hAnsi="Times New Roman"/>
            <w:sz w:val="18"/>
            <w:szCs w:val="18"/>
            <w:u w:val="single" w:color="auto"/>
            <w:color w:val="0000EE"/>
          </w:rPr>
          <w:t>August 19, 2025</w:t>
        </w:r>
      </w:hyperlink>
      <w:hyperlink r:id="rId3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2">
        <w:r>
          <w:rPr>
            <w:rFonts w:ascii="Times New Roman" w:cs="Times New Roman" w:eastAsia="Times New Roman" w:hAnsi="Times New Roman"/>
            <w:sz w:val="18"/>
            <w:szCs w:val="18"/>
            <w:u w:val="single" w:color="auto"/>
            <w:color w:val="0000EE"/>
          </w:rPr>
          <w:t>August 27, 2025</w:t>
        </w:r>
      </w:hyperlink>
      <w:hyperlink r:id="rId34">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September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September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October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November 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December 16,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January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January 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January 28,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February 24,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 xml:space="preserve">March 13,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5">
        <w:r>
          <w:rPr>
            <w:rFonts w:ascii="Times New Roman" w:cs="Times New Roman" w:eastAsia="Times New Roman" w:hAnsi="Times New Roman"/>
            <w:sz w:val="18"/>
            <w:szCs w:val="18"/>
            <w:u w:val="single" w:color="auto"/>
            <w:color w:val="0000EE"/>
          </w:rPr>
          <w:t xml:space="preserve">March 26, 2026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001-33417)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any information furnished pursuant to Item 2.02 or Item 7.01 of any such Current Report on Form 8-K); and</w:t>
      </w:r>
    </w:p>
    <w:p>
      <w:pPr>
        <w:spacing w:after="0" w:line="183" w:lineRule="exact"/>
        <w:rPr>
          <w:rFonts w:ascii="Times New Roman" w:cs="Times New Roman" w:eastAsia="Times New Roman" w:hAnsi="Times New Roman"/>
          <w:sz w:val="18"/>
          <w:szCs w:val="18"/>
          <w:color w:val="0000EE"/>
        </w:rPr>
      </w:pPr>
    </w:p>
    <w:p>
      <w:pPr>
        <w:ind w:left="1300" w:hanging="320"/>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62"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after the date of the initial registration statement and prior to the effectiveness of the registration statement and after the date of this prospectus supplement and prior to the termination of these offerings shall be deemed to be incorporated in this prospectus supplement and the accompanying prospectus by reference and to be a part hereof from the date of filing of such documents. 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92"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(609) 730-0400</w:t>
      </w:r>
    </w:p>
    <w:p>
      <w:pPr>
        <w:spacing w:after="0" w:line="207"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may also access the reports and documents incorporated by reference into this prospectus through the following website maintained by the SEC: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reports, proxy statements and other information with the SEC. These reports, proxy statements and other information can be inspected and copied at the SEC’s Public Reference room at 100 F Street, N.E., Washington, D.C. 20549. The public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We maintain a website at www.oceanpowertechnologies.com. Information on our website or any other website is not incorporated by reference into this prospectus and does not constitute part of this prospectus. Please note that information contained in our website, whether currently posted or posted in the future, is not a part of this prospectus or the documents incorporated by reference in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and Section 21E of the Exchange Act. Forward-looking statements are subject to certain risks, trends and uncertainties that could cause actual results to differ materially from those projected. Among those risks, trends and uncertainties are:</w:t>
      </w:r>
    </w:p>
    <w:p>
      <w:pPr>
        <w:spacing w:after="0" w:line="176"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regarding Federal governmental tariffs;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our financial condition and our operating performance;</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and other obligations under our convertible notes;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do business with properly qualified customers that have good credit ratings and pay their obligation on a timely basis;</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apply technology, data analytics and artificial intelligence effectively in driving value for our customers through technology-based solutions, or failure to gain internal efficiencies and effective internal controls through the application of technology and related tools;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continue as a going concern;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short-term and possibly longer;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ind w:left="1300" w:right="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forecasts and estimates regarding future expenses, revenue, gross margin, cash flow and capital requirements;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and continuous improvement of our technology, products and solutions;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statutes and regulations;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tariffs, the conflicts between the United States, Israel and Iran, Russia’s invasion of Ukraine, the Israel/Palestine conflict, current events in Venezuela and previous attacks on merchant ships in the Red Sea;</w:t>
      </w:r>
    </w:p>
    <w:p>
      <w:pPr>
        <w:ind w:left="130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new foreign country tariffs may have on our ability (i) to source and procure necessary raw materials for the manufacture and provision of our products and services; and (ii) to deliver our products to such foreign countries;</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consistent commercial profit margins.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“expect,” “estimate,” “project,” “plan,” “believe,” “achievable,” “anticipate” and similar terms and phrases. Although we believe that the expectations reflected in these forward-looking statements are reasonable, they do involve certain assumptions, risks and uncertainties. Our actual results could differ materially from those anticipated in these forward-looking statements as a result of certain factors, including but not limited to the risks and uncertainties discussed in the section entitled “Risk Factors” included elsewhere in this prospectus supplement and the accompanying prospectus and in the documents that we include in or incorporate by reference into this prospectus supplement and the accompanying prospectus, including our Annual Report on Form 10-K for the fiscal year ended April 30, 2024 and our subsequent SEC filings.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attributable to us or persons acting on our behalf are expressly qualified in their entirety by the cautionary statements in this section and elsewhere in this prospectus and in the documents incorporated by reference. Other than as required under the securities laws, we do not assume a duty to update these forward-looking statements, whether as a result of new information, subsequent events or circumstances, changes in expectations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591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257175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OCEAN POWER TECHNOLOGIES, INC.</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from time to time debt securities, shares of our common stock, shares of our preferred stock, depositary shares, warrants, subscription rights, purchase contracts and units.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initial offering price of the securities that we offer will not exceed $100,000,000. We will offer the securities in amounts, at prices and on terms to be determined at the time of the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NYSE American under the symbol “OPTT.” The last reported sale price of our common stock on November 27, 2023 was $0.30 per share.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aggregate market value of our outstanding common stock held by non-affiliates was $17,487,005 based on 58,788,718 shares of outstanding common stock as of November 27, 2023, of which approximately 58,290,016 shares were held by non-affiliates, and based on the last reported sale price of our common stock as noted above. Pursuant to General Instruction I.B.6 of Form S-3, in no event will we sell securities pursuant to this prospectus with a value of more than one-third of the aggregate market value of our common stock held by non-affiliates in any 12-month period, so long as the aggregate market value of our common stock held by non-affiliates is less than $75,000,000. In the event that subsequent to the date of this prospectus, the aggregate market value of our outstanding common stock held by non-affiliates equals or exceeds $75,000,000, then the one-third limitation on sales shall not apply to additional sales made pursuant to this prospectus.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provide the specific terms of the offering in supplements to this prospectus. You should read this prospectus and any supplement carefully before you invest. This prospectus may not be used to offer and sell our securities unless accompanied by a prospectus supplement.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significant risks that are described in the “Risk Factors” section beginning on page 5 of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December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OCEAN POWER TECHNOLOGIES, INC.</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50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5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5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6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332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SUBSCRIPTION RIGHTS</w:t>
            </w:r>
          </w:p>
        </w:tc>
        <w:tc>
          <w:tcPr>
            <w:tcW w:w="71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FORMS OF SECURITIES</w:t>
            </w:r>
          </w:p>
        </w:tc>
        <w:tc>
          <w:tcPr>
            <w:tcW w:w="858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Commission or the SEC, utilizing a “shelf” registration process. Under this shelf registration process, we may sell any combination of the securities described in this prospectus in one or more offerings up to a total dollar amount of $100,000,000. This prospectus provides you with a general description of the securities we may offer. Each time we sell securities, we will provide a prospectus supplement that will contain specific information about the terms of the offering and the offered securities. This prospectus, together with applicable prospectus supplements, any information incorporated by reference, and any related free writing prospectuses we file with the Commission, includes all material information relating to these offerings and securities. We may also add, update or change in the prospectus supplement any of the information contained in this prospectus or in the documents that we have incorporated by reference into this prospectus, including without limitation, a discussion of any risk factors or other special considerations that apply to these offerings or securities or the specific plan of distribution. If there is any inconsistency between the information in this prospectus and a prospectus supplement or information incorporated by reference having a later date, you should rely on the information in that prospectus supplement or incorporated information having a later date. We urge you to read carefully this prospectus, any applicable prospectus supplement and any related free writing prospectus, together with the information incorporated herein by reference as described under the heading “Incorporation of Certain Documents By Reference” and the additional information described under the heading “Where You Can Find More Information,” before buying any of the securities being offered.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we have provided or incorporated by reference in this prospectus, any applicable prospectus supplement and any related free writing prospectus.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w:t>
      </w:r>
    </w:p>
    <w:p>
      <w:pPr>
        <w:spacing w:after="0" w:line="176"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Neither the delivery of this prospectus nor any sale made under it implies that there has been no change in our affairs or that the information in this prospectus is correct as of any date after the date of this prospectus. You should assume that the information in this prospectus, any applicable prospectus supplement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exhibits to the registration statement, provides additional information about us and the securities offered under this prospectus and any prospectus supplement. We have filed and plan to continue to file other documents with the Commission that contain information about us and our business. Also, we will file legal documents that control the terms of the securities offered by this prospectus as exhibits to the reports that we file with the Commission. The registration statement and other reports can be read at the Commission website or at the Commission offices mentioned under the heading “Where You Can Find More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in this prospectus, unless otherwise indicated, “we,” “our,” “us,” “Company” or similar terms refer collectively to Ocean Power Technologies, Inc., and not the subsidiaries of Ocean Power Technologies, Inc.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Domain Awareness Systems products, integrated solutions, and consulting services. Our solutions focus on four major service areas: Data as a Service, which includes data collected by our Wave Adaptive Modular Vessel (WAM-V®) autonomous vehicles or our PowerBuoy® product lines; Robotics as a Service, which provides a lower cost subscription model for our customers to access use of our WAM-V’s®; Power as a Service, which includes our PowerBuoy® products; and our Strategic Consulting Services.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Our solutions are based on technologies that enable autonomous, zero or low carbon emitting, and cost effective data collection, analysis, transportation and communication. Our solutions are primarily suited to ocean and other offshore environments, and support generation of actionable intelligence on a standalone basis or working with other data sources. We then channel the information we collect, and other communications, through control equipment linked to edge computing and cloud hosting environments.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goal is to generate most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New Jersey in April 1984 and began commercial operations in 1994. On April 23, 2007, we reincorporated in the State of Delaware. Our principal executive offices are located at 28 Engelhard Drive, Suite B, Monroe Township, New Jersey. Our telephone number is (609) 730-0400. We maintain a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where general information about us is available. We are not incorporating the contents of the website into this prospectus.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information discussed in this prospectus, our filings with the SEC and our public releases include “forward-looking statements” within the meaning of Section 27A of the Securities Act of 1933, as amended (the “Securities Act”), and Section 21E of the Securities Exchange Act of 1934, as amended (the “Exchange Act”), the Private Securities Litigation Reform Act of 1995 (the “PSLRA”), or in releases made by the SEC. Such forward-looking statements involve known and unknown risks, uncertainties and other important factors that could cause the actual results, performance or achievements of us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into this prospectus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and manufacturers and personnel;</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which may be unsuccessful or expose us to unforeseen liabilities, and may use significant resources;</w:t>
      </w: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power available from our PowerBuoy® product line;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actions of Paragon Technologies, Inc. in connection with its threatened proxy contest against us and the related litigation brought against us, including the amount of related costs incurred by us and the disruption caused to our business activities by these actions;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management’s assumptions about future events may prove to be inaccurate. All readers are cautioned that the forward-looking statements contained in this prospectus and in the documents incorporated by reference into this prospectus are not guarantees of future performance, and we cannot assure any reader that such statements will be realized or that the forward-looking events and circumstances will occur. Actual results may differ materially from those anticipated or implied in the forward-looking statements due to factors described in “Risk Factors” included elsewhere in this prospectus and in the documents that we include in or incorporate by reference into this prospectus, including our Annual Report on Form 10-K for the fiscal year ended April 30, 2023 and our subsequent SEC filings. All forward-looking statements speak only as of the date they are made. We do not intend to update or revise any forward-looking statements as a result of new information, future events or otherwise, except as required by law. These cautionary statements qualify all forward-looking statements attributable to us or persons acting on our behalf.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forms a part of a registration statement on Form S-3 we filed with the SEC. This prospectus does not contain all of the information found in the registration statement. For further information regarding us and our securities, you may desire to review the full registration statement, including its exhibits and schedules, filed under the Securities Act, as well as our proxy statement, annual, quarterly and other reports and other information we file with the SEC. You may read and copy any document we file with the SEC at the SEC’s public reference room at 100 F Street, N.E., Washington, D.C. 20549. You may obtain information on the operation of the public reference room by calling the SEC at 1-800-SEC-0330. The SEC maintains a website on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companies that file electronically with the SEC. We maintain a website on the Internet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xml:space="preserve"> Our registration statement, of which this prospectus constitutes a part, can be downloaded from the SEC’s website or from our website at </w:t>
      </w:r>
      <w:r>
        <w:rPr>
          <w:rFonts w:ascii="Times New Roman" w:cs="Times New Roman" w:eastAsia="Times New Roman" w:hAnsi="Times New Roman"/>
          <w:sz w:val="18"/>
          <w:szCs w:val="18"/>
          <w:i w:val="1"/>
          <w:iCs w:val="1"/>
          <w:color w:val="auto"/>
        </w:rPr>
        <w:t>www.oceanpowertechnologies.com</w:t>
      </w:r>
      <w:r>
        <w:rPr>
          <w:rFonts w:ascii="Times New Roman" w:cs="Times New Roman" w:eastAsia="Times New Roman" w:hAnsi="Times New Roman"/>
          <w:sz w:val="18"/>
          <w:szCs w:val="18"/>
          <w:color w:val="auto"/>
        </w:rPr>
        <w:t>. Information on the SEC website, our website or any other website is not incorporated by reference in this prospectus and does not constitute part of this prospectus.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which have previously been filed by us with the SEC under the Exchange Act, are incorporated herein by reference:</w:t>
      </w:r>
    </w:p>
    <w:p>
      <w:pPr>
        <w:spacing w:after="0" w:line="225" w:lineRule="exact"/>
        <w:rPr>
          <w:sz w:val="20"/>
          <w:szCs w:val="20"/>
          <w:color w:val="auto"/>
        </w:rPr>
      </w:pPr>
    </w:p>
    <w:p>
      <w:pPr>
        <w:ind w:left="340" w:firstLine="316"/>
        <w:spacing w:after="0" w:line="282" w:lineRule="auto"/>
        <w:tabs>
          <w:tab w:leader="none" w:pos="8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April 30, 2023, filed with the SEC on </w:t>
      </w:r>
      <w:hyperlink r:id="rId66">
        <w:r>
          <w:rPr>
            <w:rFonts w:ascii="Times New Roman" w:cs="Times New Roman" w:eastAsia="Times New Roman" w:hAnsi="Times New Roman"/>
            <w:sz w:val="18"/>
            <w:szCs w:val="18"/>
            <w:u w:val="single" w:color="auto"/>
            <w:color w:val="0000EE"/>
          </w:rPr>
          <w:t>July 28, 2023</w:t>
        </w:r>
      </w:hyperlink>
      <w:r>
        <w:rPr>
          <w:rFonts w:ascii="Times New Roman" w:cs="Times New Roman" w:eastAsia="Times New Roman" w:hAnsi="Times New Roman"/>
          <w:sz w:val="18"/>
          <w:szCs w:val="18"/>
          <w:color w:val="auto"/>
        </w:rPr>
        <w:t xml:space="preserve">, as amended on </w:t>
      </w:r>
      <w:hyperlink r:id="rId67">
        <w:r>
          <w:rPr>
            <w:rFonts w:ascii="Times New Roman" w:cs="Times New Roman" w:eastAsia="Times New Roman" w:hAnsi="Times New Roman"/>
            <w:sz w:val="18"/>
            <w:szCs w:val="18"/>
            <w:u w:val="single" w:color="auto"/>
            <w:color w:val="0000EE"/>
          </w:rPr>
          <w:t>August 28, 2023</w:t>
        </w:r>
      </w:hyperlink>
      <w:r>
        <w:rPr>
          <w:rFonts w:ascii="Times New Roman" w:cs="Times New Roman" w:eastAsia="Times New Roman" w:hAnsi="Times New Roman"/>
          <w:sz w:val="18"/>
          <w:szCs w:val="18"/>
          <w:color w:val="auto"/>
        </w:rPr>
        <w:t xml:space="preserve"> (File No. 001-33417);</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July 31, 2023, filed with the SEC on September 13, 2023 (File No. 001-33417);</w:t>
      </w:r>
    </w:p>
    <w:p>
      <w:pPr>
        <w:spacing w:after="0" w:line="225" w:lineRule="exact"/>
        <w:rPr>
          <w:rFonts w:ascii="Times New Roman" w:cs="Times New Roman" w:eastAsia="Times New Roman" w:hAnsi="Times New Roman"/>
          <w:sz w:val="18"/>
          <w:szCs w:val="18"/>
          <w:color w:val="auto"/>
        </w:rPr>
      </w:pPr>
    </w:p>
    <w:p>
      <w:pPr>
        <w:jc w:val="both"/>
        <w:ind w:left="340" w:firstLine="316"/>
        <w:spacing w:after="0" w:line="261" w:lineRule="auto"/>
        <w:tabs>
          <w:tab w:leader="none" w:pos="861" w:val="left"/>
        </w:tabs>
        <w:numPr>
          <w:ilvl w:val="0"/>
          <w:numId w:val="12"/>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69">
        <w:r>
          <w:rPr>
            <w:rFonts w:ascii="Times New Roman" w:cs="Times New Roman" w:eastAsia="Times New Roman" w:hAnsi="Times New Roman"/>
            <w:sz w:val="18"/>
            <w:szCs w:val="18"/>
            <w:u w:val="single" w:color="auto"/>
            <w:color w:val="0000EE"/>
          </w:rPr>
          <w:t>June 8, 2023</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June 9, 2023</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June 30, 2023</w:t>
        </w:r>
      </w:hyperlink>
      <w:r>
        <w:rPr>
          <w:rFonts w:ascii="Times New Roman" w:cs="Times New Roman" w:eastAsia="Times New Roman" w:hAnsi="Times New Roman"/>
          <w:sz w:val="18"/>
          <w:szCs w:val="18"/>
          <w:color w:val="auto"/>
        </w:rPr>
        <w:t xml:space="preserve">, </w:t>
      </w:r>
      <w:hyperlink r:id="rId72">
        <w:r>
          <w:rPr>
            <w:rFonts w:ascii="Times New Roman" w:cs="Times New Roman" w:eastAsia="Times New Roman" w:hAnsi="Times New Roman"/>
            <w:sz w:val="18"/>
            <w:szCs w:val="18"/>
            <w:u w:val="single" w:color="auto"/>
            <w:color w:val="0000EE"/>
          </w:rPr>
          <w:t>August 7, 2023</w:t>
        </w:r>
      </w:hyperlink>
      <w:r>
        <w:rPr>
          <w:rFonts w:ascii="Times New Roman" w:cs="Times New Roman" w:eastAsia="Times New Roman" w:hAnsi="Times New Roman"/>
          <w:sz w:val="18"/>
          <w:szCs w:val="18"/>
          <w:color w:val="auto"/>
        </w:rPr>
        <w:t xml:space="preserve">, </w:t>
      </w:r>
      <w:hyperlink r:id="rId73">
        <w:r>
          <w:rPr>
            <w:rFonts w:ascii="Times New Roman" w:cs="Times New Roman" w:eastAsia="Times New Roman" w:hAnsi="Times New Roman"/>
            <w:sz w:val="18"/>
            <w:szCs w:val="18"/>
            <w:u w:val="single" w:color="auto"/>
            <w:color w:val="0000EE"/>
          </w:rPr>
          <w:t>September 8, 2023</w:t>
        </w:r>
      </w:hyperlink>
      <w:r>
        <w:rPr>
          <w:rFonts w:ascii="Times New Roman" w:cs="Times New Roman" w:eastAsia="Times New Roman" w:hAnsi="Times New Roman"/>
          <w:sz w:val="18"/>
          <w:szCs w:val="18"/>
          <w:color w:val="auto"/>
        </w:rPr>
        <w:t xml:space="preserve">, </w:t>
      </w:r>
      <w:hyperlink r:id="rId74">
        <w:r>
          <w:rPr>
            <w:rFonts w:ascii="Times New Roman" w:cs="Times New Roman" w:eastAsia="Times New Roman" w:hAnsi="Times New Roman"/>
            <w:sz w:val="18"/>
            <w:szCs w:val="18"/>
            <w:u w:val="single" w:color="auto"/>
            <w:color w:val="0000EE"/>
          </w:rPr>
          <w:t>September 13,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5">
        <w:r>
          <w:rPr>
            <w:rFonts w:ascii="Times New Roman" w:cs="Times New Roman" w:eastAsia="Times New Roman" w:hAnsi="Times New Roman"/>
            <w:sz w:val="18"/>
            <w:szCs w:val="18"/>
            <w:u w:val="single" w:color="auto"/>
            <w:color w:val="0000EE"/>
          </w:rPr>
          <w:t xml:space="preserve">October 12, 2023, </w:t>
        </w:r>
      </w:hyperlink>
      <w:hyperlink r:id="rId76">
        <w:r>
          <w:rPr>
            <w:rFonts w:ascii="Times New Roman" w:cs="Times New Roman" w:eastAsia="Times New Roman" w:hAnsi="Times New Roman"/>
            <w:sz w:val="18"/>
            <w:szCs w:val="18"/>
            <w:u w:val="single" w:color="auto"/>
            <w:color w:val="0000EE"/>
          </w:rPr>
          <w:t>October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7">
        <w:r>
          <w:rPr>
            <w:rFonts w:ascii="Times New Roman" w:cs="Times New Roman" w:eastAsia="Times New Roman" w:hAnsi="Times New Roman"/>
            <w:sz w:val="18"/>
            <w:szCs w:val="18"/>
            <w:u w:val="single" w:color="auto"/>
            <w:color w:val="0000EE"/>
          </w:rPr>
          <w:t>October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8">
        <w:r>
          <w:rPr>
            <w:rFonts w:ascii="Times New Roman" w:cs="Times New Roman" w:eastAsia="Times New Roman" w:hAnsi="Times New Roman"/>
            <w:sz w:val="18"/>
            <w:szCs w:val="18"/>
            <w:u w:val="single" w:color="auto"/>
            <w:color w:val="0000EE"/>
          </w:rPr>
          <w:t xml:space="preserve">November 7,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9">
        <w:r>
          <w:rPr>
            <w:rFonts w:ascii="Times New Roman" w:cs="Times New Roman" w:eastAsia="Times New Roman" w:hAnsi="Times New Roman"/>
            <w:sz w:val="18"/>
            <w:szCs w:val="18"/>
            <w:u w:val="single" w:color="auto"/>
            <w:color w:val="0000EE"/>
          </w:rPr>
          <w:t xml:space="preserve">November 16, 2023 </w:t>
        </w:r>
      </w:hyperlink>
      <w:r>
        <w:rPr>
          <w:rFonts w:ascii="Times New Roman" w:cs="Times New Roman" w:eastAsia="Times New Roman" w:hAnsi="Times New Roman"/>
          <w:sz w:val="18"/>
          <w:szCs w:val="18"/>
          <w:color w:val="000000"/>
        </w:rPr>
        <w:t>(File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 001-33417) and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Current Report on Form 8-K/A on </w:t>
      </w:r>
      <w:hyperlink r:id="rId80">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any information furnished pursuant to Item 2.02 or Item 7.01 of any such Current Report on Form 8-K); and</w:t>
      </w:r>
    </w:p>
    <w:p>
      <w:pPr>
        <w:spacing w:after="0" w:line="179" w:lineRule="exact"/>
        <w:rPr>
          <w:rFonts w:ascii="Times New Roman" w:cs="Times New Roman" w:eastAsia="Times New Roman" w:hAnsi="Times New Roman"/>
          <w:sz w:val="18"/>
          <w:szCs w:val="18"/>
          <w:color w:val="000000"/>
        </w:rPr>
      </w:pPr>
    </w:p>
    <w:p>
      <w:pPr>
        <w:ind w:left="340" w:firstLine="316"/>
        <w:spacing w:after="0" w:line="282" w:lineRule="auto"/>
        <w:tabs>
          <w:tab w:leader="none" w:pos="8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18, 2007 (File No. 001-33417) and in any and all subsequent amendments and reports filed for the purpose of updating that description.</w:t>
      </w:r>
    </w:p>
    <w:p>
      <w:pPr>
        <w:spacing w:after="0" w:line="162"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(excluding any information furnished pursuant to Item 2.02 or Item 7.01 on any current report on Form 8-K and any corresponding information furnished under Item 9.01 or included as an exhibit) after the date of the initial registration statement of which this prospectus forms a part and until the termination of the offering under this prospectus shall be deemed to be incorporated in this prospectus by reference and to be a part hereof from the date of filing of such documents. Any statement contained herein, or in a document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92" w:lineRule="exact"/>
        <w:rPr>
          <w:rFonts w:ascii="Times New Roman" w:cs="Times New Roman" w:eastAsia="Times New Roman" w:hAnsi="Times New Roman"/>
          <w:sz w:val="18"/>
          <w:szCs w:val="18"/>
          <w:color w:val="0000EE"/>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request a free copy of these filings, other than any exhibits, unless the exhibits are specifically incorporated by reference into this prospectus, by writing or telephoning us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Monroe Township, New Jersey 08831</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730-0400</w:t>
      </w:r>
    </w:p>
    <w:p>
      <w:pPr>
        <w:spacing w:after="0" w:line="206"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consider the risk factors and all of the other information included in, or incorporated by reference into, this prospectus, including those risk factors included in our most recent Annual Report on Form 10-K, any subsequent Quarterly Reports on Form 10-Q, Current Reports on Form 8-K or any amendment or update thereto reflected in our subsequent Commission filings, in evaluating an investment in our securities. If any of these risks were to occur, our business, financial condition or results of operations could be adversely affected. In that case, the trading price of our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or any pricing supplement, we will use the net proceeds from the sale of the securities offered by us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 The amounts and timing of these expenditures will depend on a number of factors, such as the timing, scope, progress and results of our sales, research and development efforts, the timing and progress of any partnering efforts, and the regulatory and competitive environment. Pending any specific application, we may initially invest funds in short-term marketable securities or apply them to the reduction of indebtedness.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net tangible book value at July 31, 2023, was approximately $26.1 million, or approximately $0.44 per share of common stock. Net tangible book value per share of common stock is determined by dividing our tangible net worth, which is tangible assets less liabilities, by the total number of shares of our common stock outstanding. If we offer shares of our common stock, purchasers of our common stock in that offering may experience immediate dilution in net tangible book value per share. The prospectus supplement relating to an offering of shares of our common stock will set forth the information regarding any dilutive effect of that offering.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we may issue from time to time. The particular terms relating to each debt security, which may be different from or in addition to the terms described below, will be set forth in a prospectus supplement relating to such securities.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debt securities will be our direct obligations. The senior debt securities will rank equally with all of our other senior and unsubordinated debt. The senior subordinated debt securities will have a junior position to all of our senior debt, which is generally defined in both the subordinated debt indenture and senior subordinated debt indenture to include all debt other than debt that is expressly subordinated to or pari passu with the subordinated debt securities or senior subordinated debt securities, as the case may be. The subordinated debt securities will have a junior position to all of our senior debt and all of our senior subordinated debt. The senior debt securities will be issued under a senior debt indenture, the senior subordinated debt securities will be issued under a senior subordinated debt indenture, and the subordinated debt securities will be issued under a subordinated debt indenture. The indentures will be qualified under the Trust Indenture Act of 1939, as amended (the “Trust Indenture Act”). The type and terms of the debt securities we offer under this prospectus may be limited by the other debt instruments to which we are a party at the time of the offering.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securities we issue will be structurally subordinated to the indebtedness and other liabilities, if any, of our subsidiaries, including claims of our subsidiaries’ creditors, and any taxing authorities. Any claims we have as an unsecured creditor of one of our subsidiaries would be subordinate to any security interest in the assets of that subsidiary and any indebtedness of that subsidiary senior to the indebtedness held by 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below the material provisions of the three indentures. The summary is not complete and is subject in all respects to the provisions of and is qualified in its entirety by reference to the forms of indentures, which are filed as exhibits and incorporated by reference into the registration statement of which this prospectus forms a part. The prospectus supplement relating to the applicable issuance of debt securities will describe any significant differences between the indentures and the summary below. The forms of senior indenture, senior subordinated indenture and subordinated indenture are substantially the same, except for certain covenants of ours and provisions relating to subordination. You should read the indentures for provisions that may be important to you. The forms of indentures may be supplemented or revised in connection with the filing of a prospectus supplement with respect to a particular series of debt securities and such later version will govern any debt securities issued in conjunction with that prospectus supplement.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Applicable to All Debt Securities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No Limit on Debt Amounts</w:t>
      </w:r>
      <w:r>
        <w:rPr>
          <w:rFonts w:ascii="Times New Roman" w:cs="Times New Roman" w:eastAsia="Times New Roman" w:hAnsi="Times New Roman"/>
          <w:sz w:val="18"/>
          <w:szCs w:val="18"/>
          <w:color w:val="auto"/>
        </w:rPr>
        <w:t>. The indentures do not limit the amount of debt that can be issued under the indentures. These amounts will be set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our board of directors.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Prospectus Supplements</w:t>
      </w:r>
      <w:r>
        <w:rPr>
          <w:rFonts w:ascii="Times New Roman" w:cs="Times New Roman" w:eastAsia="Times New Roman" w:hAnsi="Times New Roman"/>
          <w:sz w:val="18"/>
          <w:szCs w:val="18"/>
          <w:color w:val="auto"/>
        </w:rPr>
        <w:t>. The prospectus supplement relating to a series of debt securities will summarize the specific terms of such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related offering including, with respect to each series of debt securities, some or all of the following, as well as any other material terms of the debt securities:</w:t>
      </w:r>
    </w:p>
    <w:p>
      <w:pPr>
        <w:spacing w:after="0" w:line="17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title will distinguish the securities of the series from all other series of securities);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(which limit will not pertain to securities authenticated and delivered upon registration of transfer of, or in exchange for, or in lieu of, other securities of the series or any securities that are deemed never to have been authenticated and delivered);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premium, if any, on the securities of the series is payable or the method or methods of determination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will bear interest, if any, or the method or methods of calculating such rate or rates of interest, the date or dates from which such interest will accrue or the method or methods by which such date or dates will be determined, the dates on which any such interest will be payable, our right, if any, to defer or extend an interest payment date, the record date, if any, for the interest payable on any such security on any interest payment date, and the basis upon which interest will be calculated if other than that of a 360-day year of twelve 30-day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ind w:left="644" w:hanging="644"/>
        <w:spacing w:after="0" w:line="266"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if any, and interest, if any, on securities of the series will be payable, any securities of the series may be surrendered for registration of transfer, securities of the series may be surrendered for exchange and notices and demands to or upon us in respect of the securities of the series and the indenture may be served and notices to holders will be published;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currencies (including currency unit or units) in which, and the other terms and conditions upon which, securities of the series may be redeemed, in whole or in part, at our option and, the manner in which the particular securities of such series (if less than all securities of such series are to be redeemed) are to be selected for redemption;</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or obligation, if any, to redeem or purchase securities of the series pursuant to any sinking fund or analogous provisions or upon the happening of a specified event or at the option of a holder thereof, and the period or periods within which, the price or prices at which, the currency or currencies (including currency unit or units) in which, and the other terms and conditions upon which, securities of the series will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securities of the series will be issuable;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(including currency unit or units) in which the principal of, premium, if any, and interest, if any, on the securities of the series will be payable, or in which the securities of the series will be denominated, and the particular provisions applicable thereto;</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of principal of, premium, if any, or interest, if any, on the securities of the series are to be made, at our election or the election of a holder, in a currency or currencies (including currency unit or units) other than that in which the securities of such series are denominated or designated to be payable, the currency or currencies (including currency unit or units) in which such payments are to be made, the terms and conditions of such payments and the manner in which the exchange rate with respect to such payments will be determined, and the particular provisions applicable thereto;</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premium, if any, and interest, if any, on the securities of the series will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will be determined and any special voting or defeasance provisions in connection therewith;</w:t>
      </w:r>
    </w:p>
    <w:p>
      <w:pPr>
        <w:spacing w:after="0" w:line="183"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such securities of the series which will be payable upon declaration of acceleration thereof or the method by which such portion will be determined;</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any interest on any securities of the series will be payable;</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pertaining to the securities of the series;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what circumstances, if any, and with what procedures and documentation we will pay additional amounts on the securities of the series held by a person who is not a U.S. person (including any definition of such term) in respect of taxes, assessments or similar charges withheld or deducted and, if so, whether we have the option to redeem such securities rather than pay such additional amounts (and the terms of any such option);</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5" w:name="page36"/>
    <w:bookmarkEnd w:id="35"/>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any means of defeasance or covenant defeasance as may be specified for the securities of such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registrar, conversion agent (if any) and any paying agent;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issued in whole or in part in global form, (A) the depositary for such global securities, (B) whether beneficial owners of interests in any securities of the series in global form may exchange such interests for certificated securities of such series, to be registered in the names of or to be held by such beneficial owners or their nominees and to be of like tenor of any authorized form and denomination, and (C) the circumstances under which any such exchange may occur;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depositary with respect to the securities of the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registration, transfer or exchange of the securities of the series;</w:t>
      </w:r>
    </w:p>
    <w:p>
      <w:pPr>
        <w:spacing w:after="0" w:line="22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may be issued or delivered (whether upon original issuance or upon exchange of a temporary security of such series or otherwise), or any installment of principal or interest is payable, only upon receipt of certain certificates or other documents or satisfaction of other conditions, the form and terms of such certificates, documents or conditions;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will be convertible into or for other of our securities or property, and any deletions from, modifications of or additions to the terms and conditions of any right to convert, exercise or exchange securities of the series into or for other of our securities or property;</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are secured or unsecured, and if secured, the security and related terms in connection therewith (which will be provided for in a separate security agreement and/or other appropriate documentation);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including any terms which may be required by or advisable under United States laws or regulations or advisable (as we may determine) in connection with the marketing of securities of the series.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in an applicable indenture relating to debt securities, the debt securities will be issued in the form of one or more fully registered global securities that will be deposited with and registered in the name of a depositary or its nominee. Upon issuance of a registered global security, the depositary will credit, on its book-entry registration and transfer system, participants’ accounts with the principal amount of the debt security beneficially owned by such participants. Each person owning a beneficial interest in a registered global security will have to rely on the procedures of the depositary for such registered global security to exercise any rights of a holder under the applicable indenture.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transferred or redeemed in part.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series of debt securities may be issued under the relevant indenture as original issue discount securities, which are securities that are offered and sold at a discount from their stated principal amount. In addition, debt securities offered and sold at their stated principal amount may under some circumstances, pursuant to applicable Treasury Regulations, be treated as issued at an original issue discount for federal income tax purposes. Federal income tax consequences and other special considerations applicable to any such original issue discount securities (or other debt securities treated as issued at an original issue discount) will be described in the prospectus supplement relating to those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i w:val="1"/>
          <w:iCs w:val="1"/>
          <w:color w:val="auto"/>
        </w:rPr>
        <w:t>Covenants</w:t>
      </w:r>
      <w:r>
        <w:rPr>
          <w:rFonts w:ascii="Times New Roman" w:cs="Times New Roman" w:eastAsia="Times New Roman" w:hAnsi="Times New Roman"/>
          <w:sz w:val="18"/>
          <w:szCs w:val="18"/>
          <w:color w:val="auto"/>
        </w:rPr>
        <w:t>. We will agree in the indentures with respect to any series of debt securities to:</w:t>
      </w:r>
    </w:p>
    <w:p>
      <w:pPr>
        <w:spacing w:after="0" w:line="227"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principal, interest and any premium on the securities of the series when due;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office or agency where the securities of the series may be surrendered for registration of transfer, exchange, payment or conversion (if the debt securities are convertible) and where notices and demands to or upon us in respect of the securities of the series and the relevant indenture may be served;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or deliver certain reports, as more fully specified in the relevant indenture, with the SEC, the trustee under the relevant indenture, and/or registered holders of the securities of the series, as the case may be;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under the relevant indenture, as more fully specified in that indenture, officers’ certificates relating to our compliance under the relevant indenture and the occurrence of any default or event of default under that indenture;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our board of directors determines that it is no longer desirable in the conduct of our business and that there will be no adverse impact in any material respect to the holders of the securities of the series, subject to those exceptions as more fully specified in the relevant indenture, do or cause to be done all things necessary to preserve and keep in full force and effect our existence as a corporation and our rights (charter and statutory rights) and franchises.</w:t>
      </w:r>
    </w:p>
    <w:p>
      <w:pPr>
        <w:spacing w:after="0" w:line="17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We will agree in the indentures with respect to any series of debt securities that we will not consolidate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merge into any other entity or transfer all or substantially all of our assets unless:</w:t>
      </w:r>
    </w:p>
    <w:p>
      <w:pPr>
        <w:spacing w:after="0" w:line="16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or surviving entity assumes all of our obligations under the securities of such series and the indentures pursuant to supplemental indentures in forms reasonably satisfactory to the trustee(s) under the relevant indentures and is organized or existing under the laws of the United States of America and any state thereof or the District of Columbia; and, in either case,</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under the relevant indenture will have happened and be 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transfer of all or substantially all of our assets, the successor will be substituted for us under the indenture and we will be relieved of all obligations and covenants under the indenture with respect to such series of debt securities, except in the case of a lease of all or substantially all of our assets.</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Upon our request, the relevant indenture will no longer be effective with respect to any series of debt securities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certain specified purposes if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that series have been delivered to the trustee for cancellation, we have paid all sums payable in respect of that series and we have delivered to the trustee a certificate and opinion of legal counsel that all conditions precedent to satisfaction and discharge have been fulfilled;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securities that remain outstanding have, or within one year will, become due and payable or are to be called for redemption, we have deposited with the trustee funds that are sufficient to make all future payments, no default or event of default will have occurred and be continuing on the date of that deposit, we have paid all other sums payable in respect of that series, and we have delivered to the trustee a certificate and opinion of counsel that all conditions precedent to satisfaction and discharge have been fulfilled.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7" w:name="page38"/>
    <w:bookmarkEnd w:id="37"/>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 and Covenant Defeasance</w:t>
      </w:r>
      <w:r>
        <w:rPr>
          <w:rFonts w:ascii="Times New Roman" w:cs="Times New Roman" w:eastAsia="Times New Roman" w:hAnsi="Times New Roman"/>
          <w:sz w:val="18"/>
          <w:szCs w:val="18"/>
          <w:color w:val="auto"/>
        </w:rPr>
        <w:t>. Under each indenture, we may elect with respect to a series of debt securities, at our option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satisfaction of the conditions described below, either:</w:t>
      </w:r>
    </w:p>
    <w:p>
      <w:pPr>
        <w:spacing w:after="0" w:line="160" w:lineRule="exact"/>
        <w:rPr>
          <w:sz w:val="20"/>
          <w:szCs w:val="20"/>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deemed to have paid and discharged the entire indebtedness represented by the outstanding securities of the applicable series and to have satisfied all of our other obligations under the securities of the applicable series and under the provisions of the relevant indenture, which we refer to as legal defeasance;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released from some of our obligations under the relevant indenture, which we refer to as covenant defeasance.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 exercise legal or covenant defeasance with respect to any series of debt securities if the following conditions are met:</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irrevocably deposit with the applicable indenture trustee (or another trustee meeting certain eligibility requirements and agreeing to be bound by the applicable provisions of the relevant indenture), in trust, for the benefit of the holders of the applicable series of debt securities:</w:t>
      </w:r>
    </w:p>
    <w:p>
      <w:pPr>
        <w:spacing w:after="0" w:line="17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cash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-119380</wp:posOffset>
            </wp:positionV>
            <wp:extent cx="1282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246" w:lineRule="exact"/>
        <w:rPr>
          <w:sz w:val="20"/>
          <w:szCs w:val="20"/>
          <w:color w:val="auto"/>
        </w:rPr>
      </w:pPr>
    </w:p>
    <w:p>
      <w:pPr>
        <w:jc w:val="both"/>
        <w:ind w:left="2280"/>
        <w:spacing w:after="0" w:line="266" w:lineRule="auto"/>
        <w:rPr>
          <w:sz w:val="20"/>
          <w:szCs w:val="20"/>
          <w:color w:val="auto"/>
        </w:rPr>
      </w:pPr>
      <w:r>
        <w:rPr>
          <w:rFonts w:ascii="Times New Roman" w:cs="Times New Roman" w:eastAsia="Times New Roman" w:hAnsi="Times New Roman"/>
          <w:sz w:val="18"/>
          <w:szCs w:val="18"/>
          <w:color w:val="auto"/>
        </w:rPr>
        <w:t>non-callable and non-redeemable direct obligations of the United States of America or of an agency or instrumentality controlled or supervised by the United States of America, in each instance, the payment of which is unconditionally guaranteed as a full faith and credit obligation of the United States of America;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-424815</wp:posOffset>
            </wp:positionV>
            <wp:extent cx="12827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156" w:lineRule="exact"/>
        <w:rPr>
          <w:sz w:val="20"/>
          <w:szCs w:val="20"/>
          <w:color w:val="auto"/>
        </w:rPr>
      </w:pPr>
    </w:p>
    <w:p>
      <w:pPr>
        <w:jc w:val="both"/>
        <w:ind w:left="2280"/>
        <w:spacing w:after="0" w:line="261" w:lineRule="auto"/>
        <w:rPr>
          <w:sz w:val="20"/>
          <w:szCs w:val="20"/>
          <w:color w:val="auto"/>
        </w:rPr>
      </w:pPr>
      <w:r>
        <w:rPr>
          <w:rFonts w:ascii="Times New Roman" w:cs="Times New Roman" w:eastAsia="Times New Roman" w:hAnsi="Times New Roman"/>
          <w:sz w:val="18"/>
          <w:szCs w:val="18"/>
          <w:color w:val="auto"/>
        </w:rPr>
        <w:t>a combination of the foregoing that, in each case, is sufficient, in the opinion of a nationally recognized firm of independent public accountants, to pay the principal of, interest and premium, if any, on the outstanding debt securities of the applicable series on their stated maturity or applicable redemption date, as the case may be, and any mandatory sinking fund payments applicable to that particular series of debt securities on the day on which the payments are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-559435</wp:posOffset>
            </wp:positionV>
            <wp:extent cx="12827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128270" cy="163195"/>
                    </a:xfrm>
                    <a:prstGeom prst="rect">
                      <a:avLst/>
                    </a:prstGeom>
                    <a:noFill/>
                  </pic:spPr>
                </pic:pic>
              </a:graphicData>
            </a:graphic>
          </wp:anchor>
        </w:drawing>
      </w:r>
    </w:p>
    <w:p>
      <w:pPr>
        <w:spacing w:after="0" w:line="160" w:lineRule="exact"/>
        <w:rPr>
          <w:sz w:val="20"/>
          <w:szCs w:val="20"/>
          <w:color w:val="auto"/>
        </w:rPr>
      </w:pPr>
    </w:p>
    <w:p>
      <w:pPr>
        <w:ind w:left="1300" w:right="2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counsel confirming that the holders of the outstanding securities of the applicable series will not recognize income, gain or loss for federal income tax purposes as a result of the defeasance;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the deposit of the amounts to be held in trust for the benefit of the holders (other than a default or event of default resulting from the borrowing of funds to be applied to the deposit) or in the case of any insolvency-related defaults, at any time in the period ending on the 91st day after the date of the deposit (or greater period of time in which any such deposit of trust funds may remain subject to bankruptcy or insolvency laws that apply to the deposit by us);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all conditions precedent provided for or relating to legal defeasance or covenant defeasance, as the case may be, have been complied 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satisfying the conditions for legal defeasance, the debt securities of the applicable series will be deemed outstanding only for limited purposes as more fully set forth in the relevant indenture. After legal defeasance, the holders of outstanding debt securities of the applicable series will have to rely solely on the deposits we make to the trust for repayment of such debt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satisfying the conditions for covenant defeasance, the debt securities of the applicable series will be deemed not outstanding for the purposes of the covenants from which we have been released but will continue to be deemed outstanding for all other purposes under the relevant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series of debt securities may describe additional provisions, if any, permitting legal defeasance or covenant defeasance, and any modifications to the provisions described above, with respect to the debt securities of a particular series.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Information Concerning the Trustee</w:t>
      </w:r>
      <w:r>
        <w:rPr>
          <w:rFonts w:ascii="Times New Roman" w:cs="Times New Roman" w:eastAsia="Times New Roman" w:hAnsi="Times New Roman"/>
          <w:sz w:val="18"/>
          <w:szCs w:val="18"/>
          <w:color w:val="auto"/>
        </w:rPr>
        <w:t>. The prospectus supplement relating to a series of debt securities will include information concerning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under the applicable indenture and our relationship with the trustee at the time any debt securities are offered. We may also maintain bank accounts, borrow money and have other banking or investment banking relationships with the trustee, or its affiliates, in the ordinary course of business.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The registered debt securities may be issued in the form of one or more fully registered global securities that will be deposited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and registered in the name of a depositary or in the name of a nominee for a depositary identified in the prospectus supplement relating to such debt securities. The specific terms of the depositary arrangement with respect to any debt securities to be represented by a registered global security will be described in the prospectus supplement relating to such debt securities. We anticipate that the description below will apply to all depositary arrangements.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that have accounts with the depositary for such registered global security (“participants”) or persons that may hold interests through participants. Upon the issuance of a registered global security, the depositary will credit, on its book-entry registration and transfer system, the participants’ accounts with the principal amounts of the debt securities represented by the registered global security beneficially owned by such participants. Ownership of beneficial interests in such registered global security will be shown on, and the transfer of such ownership interests will be effected only through, records maintained by the depositary for such registered global security or on the records of participants for interests of persons holding through participants.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depositary for a registered global security, or its nominee, is the registered owner of a registered global security, the depositary or the nominee will be considered the sole owner or holder of the debt securities represented by the registered global security for all purposes. Except as set forth below, owners of beneficial interests in a registered global security will not:</w:t>
      </w:r>
    </w:p>
    <w:p>
      <w:pPr>
        <w:spacing w:after="0" w:line="176"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have the debt securities represented by such registered global security registered in their names;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or be entitled to receive physical delivery of such debt securities in definitive forms;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considered the owners of record or holders of the debt securities.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person owning a beneficial interest in a registered global security will have to rely on the procedures of the depositary for such registered global security and, if such person is not a participant, on the procedures of the participant through which such person owns its interest, to exercise any rights of a holder under the applicable indenture. We understand that under existing industry practices, if we were to request any action of holders, or if an owner of a beneficial interest in a registered global security desired to take any action that a holder is entitled to take under the applicable indenture, the depositary would authorize the participants holding the relevant beneficial interests to take such action, and such participants would authorize beneficial owners owning through such participants to take such action.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Principal of, interest and premium, if any, on debt securities represented by a registered global security registered in the name of a depositary or its nominee will be made to such depositary or its nominee, as the case may be, as the registered owner of such registered global security. Neither we nor the trustee will have any responsibility or liability for any aspect of the records relating to or payments made on account of beneficial ownership interests in such registered global security.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depositary for any debt securities represented by a registered global security, upon receipt of any payment of principal, interest or premium, if any, will immediately credit participants’ accounts with such payments in amounts proportionate to their respective beneficial interests in such registered global security as shown on the records of such depositary. We also expect that payments by participants to owners of beneficial interests in such a registered global security held by the participants will be governed by standing customer instructions and customary practices, as is now the case with securities held for the accounts of customers in bearer form or registered in “street name.”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depositary notifies us that it is unwilling or unable to continue as depositary for the global security or if at any time the depositary ceases to be a clearing agency registered under the Securities Exchange Act of 1934, and such registration as a clearing agency is required by applicable law or regulation to serve as a depositary, and, in either situation, we do not appoint a successor depositary within 90 days, we will issue debt securities in certificated form in exchange for the global security. In addition, we may at any time in our sole discretion decide not to have any debt securities represented by a global security. In such event we will issue debt securities in certificated form in exchange for the global security. The debt securities in certificated form will be in the same minimal denominations and be of the same aggregate outstanding principal amount and tenor as the portion of each global security to be exchanged.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debt securities issued in certificated form in exchange for a global security will be registered in such name or names as the depositary shall instruct the relevant trustee. We expect that such instructions will be based upon directions received by the depositary from participants with respect to ownership of beneficial interests in such registered global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provided in a prospectus supplement relating to a series of debt securities, the debt securities of that series also may be issued in the form of one or more global securities that will be deposited with a common depositary identified in the prospectus supplement. The specific terms and procedures, including the specific terms of the depositary arrangement, with respect to any portion of a series of debt securities to be represented by a global security will be described in the prospectus supplement relating to that series.</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Form, Exchange, Transfer</w:t>
      </w:r>
      <w:r>
        <w:rPr>
          <w:rFonts w:ascii="Times New Roman" w:cs="Times New Roman" w:eastAsia="Times New Roman" w:hAnsi="Times New Roman"/>
          <w:sz w:val="18"/>
          <w:szCs w:val="18"/>
          <w:color w:val="auto"/>
        </w:rPr>
        <w:t>. Unless otherwise specified in a prospectus supplement relating to a series of debt securities, debt securities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global form with accompanying book-entry procedures as outlined above. They also may be issued in registered form without coupons.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holder of debt securities of any series may exchange the debt securities for other debt securities of the same series, in any authorized denomination and with the same terms and aggregate principal amount. The securities are transferable at the corporate trust office or corporate trust agency office of the trustee or at any transfer agent designated by us for that purpose. No service charge will be made for any transfer or exchange of the debt securities, but we may require payment of a sum sufficient to cover any tax or other governmental charge payable in connection with a transfer or exchange and any expenses payable in connection with any registration of transfer or exchange of debt securities, other than exchanges not involving any transfer, such as the issuance of definitive securities in replacement of temporary securities or the issuance of new securities upon surrender of a security that is redeemed in 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Debt Securities</w:t>
      </w:r>
      <w:r>
        <w:rPr>
          <w:rFonts w:ascii="Times New Roman" w:cs="Times New Roman" w:eastAsia="Times New Roman" w:hAnsi="Times New Roman"/>
          <w:sz w:val="18"/>
          <w:szCs w:val="18"/>
          <w:color w:val="auto"/>
        </w:rPr>
        <w:t>. Unless otherwise specified in a prospectus supplement relating to a series of senior debt securities,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will constitute part of our senior debt and rank equally with all our other senior debt that is unsecured (and will effectively rank junior to any secured debt). In addition to senior debt securities offered under this prospectus, senior debt includes obligations under any credit facilities with banks or other institutional lenders. The senior debt securities will be senior to our senior subordinated debt and subordinated debt. Our obligations under the senior debt securities will be structurally subordinated to certain obligations of our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debt securities:</w:t>
      </w:r>
    </w:p>
    <w:p>
      <w:pPr>
        <w:spacing w:after="0" w:line="227"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indenture for the benefit of that series (other than a covenant or agreement with respect to which a failure to observe or perform is dealt with otherwise in the senior indenture or is expressly included in the senior indenture solely for the benefit of a series of debt securities other than such series of debt securities) and that failure continues for 90 days after we receive notice to comply from the trustee or holders of at least 25% in aggregate principal amount of the outstanding senior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the prospectus supplement relating to a series of senior debt securities may describe additional or different events of default that apply to that series. An event of default with respect to one series of senior debt securities will not necessarily constitute an event of default with respect to any other series of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senior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debt securities occurs and is continuing, the trustee or the holders of at least 25% in aggregate principal amount of the then outstanding senior debt securities of all series with respect to which the event of default occurs and is continuing, treating all those series as a single class, may declare all the principal of, accrued and unpaid interest or premium (or a lesser amount as may be provided for in the senior debt securities of the series), if any, of all the senior debt securities of those series to be immediately due and payable. The holders of a majority in aggregate principal amount of the then outstanding senior debt securities of all series covered by such declaration may annul or rescind the declaration and any related payment default that resulted from the declaration but not any other payment default. Certain events of bankruptcy and insolvency will result in all outstanding series of senior debt securities becoming due and payable immediately without any further action on the part of the trustee or the holders.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indenture or a particular series of senior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debt securities to bring suit for the enforcement of any payments of principal, interest or premium, if any, on senior debt securities on or after the respective due dates may not be impaired or affected without the consent of that holder.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debt securities then outstanding of all affected series, treating all such series as a single class, may, by notice to the trustee on behalf of all holders of the senior debt securities of all those series, waive any past defaults, except:</w:t>
      </w:r>
    </w:p>
    <w:p>
      <w:pPr>
        <w:spacing w:after="0" w:line="162" w:lineRule="exact"/>
        <w:rPr>
          <w:sz w:val="20"/>
          <w:szCs w:val="20"/>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senior indenture may be amended or supplemented by us and the trustee with the consent of holders of a majority in principal amount of all series of senior debt securities affected by the amendment or supplement, treating all such series as a single class. In addition, the record holders of a majority in principal amount of the outstanding senior debt securities of all series affected by the waiver, treating all such series as a single class, may, with respect to those series, waive defaults under, or compliance with, the provisions of the senior indenture. Some amendments or waivers, however, require the consent of each holder of any senior debt security affected. Without the consent of each affected holder, an amendment or waiver regarding a series of senior debt securities may not:</w:t>
      </w:r>
    </w:p>
    <w:p>
      <w:pPr>
        <w:spacing w:after="0" w:line="185"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indenture may amend or supplement the senior indenture or the senior debt securities issued thereunder without notice to or the consent of any holder to:</w:t>
      </w:r>
    </w:p>
    <w:p>
      <w:pPr>
        <w:spacing w:after="0" w:line="162"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Senior Subordinated Debt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Ranking of Senior Subordinated Debt Securities</w:t>
      </w:r>
      <w:r>
        <w:rPr>
          <w:rFonts w:ascii="Times New Roman" w:cs="Times New Roman" w:eastAsia="Times New Roman" w:hAnsi="Times New Roman"/>
          <w:sz w:val="18"/>
          <w:szCs w:val="18"/>
          <w:color w:val="auto"/>
        </w:rPr>
        <w:t>. As described below, the senior subordinated debt securities will rank senior to any subordinated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and will be subordinated and junior in right of payment to any senior debt securities issued by us, as well as certain other indebtedness incurred by us to the extent set forth in the applicable indenture and described in the prospectus supplement relating to a series of senior subordinated debt securities. Unless the prospectus supplement relating to a series of senior subordinated debt securities indicates otherwise, the following description will apply to our senior subordinated debt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Our obligations under the senior subordinated debt securities will be subordinated in right of payment to our obligations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debt and will be structurally subordinated to certain obligations of our subsidiaries, including claims payable. In the indenture relating to the senior subordinated securities, we will agree not to create, incur or otherwise be liable for any other indebtedness that ranks junior to the senior debt in right of payment, but senior to the senior subordinated securities. For this purpose, “senior debt” generally includes any indebtedness that does not expressly provide that it is on a parity with or subordinated in right of payment to the senior subordinated debt securities. Specifically, senior debt includes obligations under any credit facility with banks or other institutional lenders and obligations under the senior debt securities described in this prospectus. Senior debt will not include:</w:t>
      </w:r>
    </w:p>
    <w:p>
      <w:pPr>
        <w:spacing w:after="0" w:line="185"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to any of our subsidiaries or other affiliates;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 payables;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that we may incur in violation of the senior subordinated indenture;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subordinated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distribute our assets to creditors upon any dissolution, winding-up, liquidation or reorganization or in bankruptcy, insolvency, receivership or similar proceedings, we must first pay all amounts due or to become due on all senior debt before we pay the principal of, or make any other payment on, the senior subordinated debt securities. The provisions of the senior subordinated debt indenture providing these payment restrictions will not limit the right, if any, of a holder of senior subordinated debt securities to convert the debt securities into equity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make any payment on the senior subordinated debt securities if a default in the payment of the principal, interest or premium, if any, including a default under any repurchase or redemption obligation in respect of designated senior debt, occurs and continues beyond any applicable grace period. We may not make any payment on the senior subordinated debt securities if any other default occurs and continues with respect to designated senior debt that permits holders of the designated senior debt to accelerate its maturity and the trustee receives a notice of default from any person permitted to give notice. We may not resume payments on the senior subordinated debt securities until the defaults are cured or specified time periods pass, unless the senior debt is paid in full. The provisions of the senior subordinated debt indenture providing these payment restrictions will not limit the right, if any, of a holder of senior subordinated debt securities to convert the debt securities into equity securities.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“designated senior debt” means our obligations under our principal bank or other institutional credit facility, if any, and any other debt expressly designated as senior debt with respect to the applicable senior subordinated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that the terms of some of our senior debt will provide that an event of default under the senior subordinated debt securities or an acceleration of their maturity will constitute an event of default under the senior debt. In that case, if the maturity of the senior subordinated debt securities is accelerated because of an event of default, we may not make any payment on the senior subordinated debt securities until we have paid all senior debt or the acceleration has been rescinded. If the payment of the senior subordinated debt securities is accelerated because of an event of default, we must promptly notify the holders of senior debt of the acceleration.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experience a bankruptcy, dissolution or reorganization, holders of senior debt may receive more, ratably, and holders of the senior subordinated debt securities may receive less, ratably, than our other creditors.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for senior subordinated debt securities may not limit our ability to incur additional senior debt.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senior subordinated debt securities:</w:t>
      </w:r>
    </w:p>
    <w:p>
      <w:pPr>
        <w:spacing w:after="0" w:line="227"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senior subordinated indenture for the benefit of that series (other than a covenant or agreement with respect to which a failure to observe or perform is dealt with otherwise in the senior subordinated indenture or is expressly included in the senior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senior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senior subordinated debt securities may describe additional or different events of default that apply to that series. An event of default with respect to one series of senior subordinated debt securities will not necessarily constitute an event of default with respect to any other series of senior subordinated debt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senior subordinated debt securities of the affected series a notice to that effect within 90 days after the default occurs, if a responsible officer of the trustee under the indenture has actual knowledge of the default or event of default.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in the case of a default in the payment of principal or interest, the trustee under the senior subordinated indenture may withhold notice if, and so long as, a committee of the trustee’s responsible officers in good faith determines that withholding the notice is in the interests of the holders.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senior subordinated debt securities occurs and is continuing, the trustee or the holders of at least 25% in aggregate principal amount of the then outstanding senior subordinated debt securities of all series with respect to which the event of default occurs and is continuing, treating all those series as a single class, may declare all the principal of, accrued and unpaid interest and premium (or such lesser amount as may be provided for in the senior subordinated debt securities of the series), if any (subject to applicable subordination provisions in the senior subordinated indenture) of all the senior subordinated debt securities of those series, to be immediately due and payable. The holders of a majority in aggregate principal amount of the then outstanding senior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senior subordinated debt securities becoming due and payable immediately without any further action on the part of the trustee or the holders.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senior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senior subordinated debt securities of all series with respect to which an event of default occurs and is continuing, treating all those series as a single class, may direct the time, method and place of conducting any proceeding for any remedy available to the trustee or exercising any trust power conferred on it, except that:</w:t>
      </w:r>
    </w:p>
    <w:p>
      <w:pPr>
        <w:spacing w:after="0" w:line="176"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senior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senior subordinated indenture or a particular series of senior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senior subordinated debt securities of all affected series,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senior subordinated debt securities of all affected series, treating all those series as a single class, do not give the trustee a direction inconsistent with the written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or premium, if any, on or after the respective due dates and to institute suit for the enforcement of those payments. The right of a holder of senior subordinated debt securities to bring suit for the enforcement of any payments of principal, interest or premium, if any, on senior subordinated debt securities on or after the respective due dates, without regard to acceleration or default,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senior subordinated debt securities then outstanding of all affected series, treating all those series as a single class, may, by notice to the trustee on behalf of all holders of the senior subordinated debt securities of those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senior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senior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senior subordinated indenture cannot be modified or amended without the consent of the holder of each outstanding note affected.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trustees regarding our compliance with covenants in the senior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senior subordinated indenture and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prospectus supplement, the senior subordinated indenture may be amended or supplemented by us and the trustee with the consent of holders of a majority in principal amount of all series of senior subordinated debt securities affected by the amendment or supplement, treating all such series as a single class. In addition, the record holders of a majority in principal amount of the outstanding senior subordinated debt securities of all series affected by the waiver, treating all such series as a single class, may, with respect to those series, waive defaults under, or compliance with, the provisions of the senior subordinated indenture. Some amendments or waivers, however, require the consent of each holder of any senior subordinated debt security affected. Without the consent of each affected holder, an amendment or waiver regarding a series of senior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senior subordinated indenture may amend or supplement the senior subordinated indenture or the senior subordinated debt securities of any series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Particular Terms of the Subordinated Debt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Ranking of Subordinated Debt Securities</w:t>
      </w:r>
      <w:r>
        <w:rPr>
          <w:rFonts w:ascii="Times New Roman" w:cs="Times New Roman" w:eastAsia="Times New Roman" w:hAnsi="Times New Roman"/>
          <w:sz w:val="18"/>
          <w:szCs w:val="18"/>
          <w:color w:val="auto"/>
        </w:rPr>
        <w:t>. The subordinated debt securities will be subordinated and junior in right of payment to any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senior subordinated debt securities issued by us, as well as certain other indebtedness incurred by us to the extent set forth in the applicable indenture described in the prospectus supplement relating to a series of subordinated debt securities.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Unless the prospectus supplement relating to a series of subordinated debt securities indicates otherwise, the subordination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subordinated debt securities will be the same as those of the senior subordinated debt securities just described, except that: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debt” will include our obligations under the senior subordinated debt securities, as well as under the other debt specified above, including the “designated senior debt;”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series of subordinated debt securities may rank senior to other series. In that case, our obligations under the higher-ranking series will be “senior debt” in relation to the lower-ranking series, as set forth in the prospectus supplement.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does not limit the amount of additional senior debt that we may incur. We expect from time to time to incur additional indebtedness constituting senior debt.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The following, among others, are events of default under a series of subordinated debt securities:</w:t>
      </w:r>
    </w:p>
    <w:p>
      <w:pPr>
        <w:spacing w:after="0" w:line="227"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the principal, premium, if any, or any sinking fund payment on any securities of that series when due;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interest on any securities of that series when due and that failure continues for a period of 30 days;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a holder’s conversion right, we fail to deliver conversion consideration in accordance with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comply with our obligations in the event of a consolidation, merger or sale of assets, as set forth in the indenture;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observe or perform any other covenant or agreement in the subordinated indenture for the benefit of that series (other than a covenant or agreement with respect to which a failure to observe or perform is dealt with otherwise in the subordinated indenture or is expressly included in the subordinated indenture solely for the benefit of a series of debt securities other than such series of debt securities) and that failure continues for 90 days after we receive notice to comply from the trustee or holders of at least 25% in aggregate principal amount of the outstanding subordinated debt securities;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our indebtedness or to pay or discharge certain final judgments against us, as set forth in the indenture;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occur, whether voluntary or not.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 and prospectus supplement relating to a series of subordinated debt securities may describe additional or different events of default that apply to that series. An event of default with respect to one series of subordinated debt securities will not necessarily constitute an event of default with respect to any other series of subordinated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the trustee will mail to the holders of subordinated debt securities of the affected series a notice to that effect within 90 days after the default occurs, if a responsible officer of the trustee under the indenture has actual knowledge of the default or event of default. Except in the case of a default in the payment of principal or interest, the trustee under the subordinated indenture may withhold notice if, and so long as, a committee of the trustee’s responsible officers in good faith determines that withholding the notice is in the interests of the holders.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one or more series of subordinated debt securities occurs and is continuing, the trustee or the holders of at least 25% in aggregate principal amount of the then outstanding subordinated debt securities of all series with respect to which the event of default occurs and is continuing, treating all those series as a single class, may declare all the principal of, accrued and unpaid interest and premium (or a lesser amount as may be provided for in the subordinated debt securities of the series), if any, (subject to applicable subordination provisions in the relevant indenture) of all the subordinated debt securities of those series to be immediately due and payable. The holders of a majority in aggregate principal amount of the then outstanding subordinated debt securities of all series covered by such declaration may annul and rescind the declaration and any related payment default that resulted from the declaration but not any other payment default. Certain events of bankruptcy and insolvency will result in all outstanding series of subordinated debt securities becoming due and payable immediately without any further action on the part of the trustee or the holders.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subordinated indenture entitles the trustee to be indemnified by the holders before proceeding to exercise any right or power at the request of any of the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subordinated debt securities of all series with respect to which an event of default occurs and is continuing and that rank equal with each other, treating all those series as a single class, may direct the time, method and place of conducting any proceeding for any remedy available to the trustee or exercising any trust power conferred on it with respect to those series, except that:</w:t>
      </w:r>
    </w:p>
    <w:p>
      <w:pPr>
        <w:spacing w:after="0" w:line="176"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cannot conflict with any law or regulation or the subordinated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the direction;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that might subject it to personal liability or be unduly prejudicial to the holders of the subordinated debt securities not joining in the action.</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may pursue a remedy directly under the subordinated indenture or a particular series of subordinated debt securities but, before doing so, the following must occur:</w:t>
      </w:r>
    </w:p>
    <w:p>
      <w:pPr>
        <w:spacing w:after="0" w:line="162"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give to the trustee written notice that an event of default has occurred and is continuing;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 outstanding subordinated debt securities of all affected series that rank equal with each other, treating all those series as a single class, must make a written request to the trustee to pursue the remedy;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must offer and, if requested, provide to the trustee an indemnity satisfactory to the trustee against any loss, liability or expense from the taking of the action;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offer and, if requested, the provision of indemnity;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60-day period, the holders of a majority in principal amount of the then outstanding subordinated debt securities of all those series, treating all those series as a single class, do not give the trustee a direction inconsistent with the written request.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holders have an absolute right to receipt of principal, interest and premium, if any, on or after the respective due dates and to institute suit for the enforcement of those payments. The right of a holder of subordinated debt securities to bring suit for the enforcement of any payments of principal, interest and premium, if any, on subordinated debt securities on or after the respective due dates may not be impaired or affected without the consent of that holder.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subordinated debt securities of all affected series that rank equal with each other treating all such series as a single class, may, by notice to the trustee on behalf of all holders of the subordinated debt securities of such series, waive any past defaults, except:</w:t>
      </w:r>
    </w:p>
    <w:p>
      <w:pPr>
        <w:spacing w:after="0" w:line="176" w:lineRule="exact"/>
        <w:rPr>
          <w:sz w:val="20"/>
          <w:szCs w:val="20"/>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payment of the principal of, interest or premium, if any, on, or any sinking fund payment on, subordinated debt securities of the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in respect of a covenant or provision of the indenture that cannot be amended or modified without the consent of each holder of subordinated debt securities affected;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arising from a failure to pay or deliver to converting holders consideration due upon conversion;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that under the subordinated indenture cannot be modified or amended without the consent of the holder of each outstanding note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We periodically will file statements with the trustee regarding our compliance with covenants in the subordinated indenture.</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Modifications and Amendments</w:t>
      </w:r>
      <w:r>
        <w:rPr>
          <w:rFonts w:ascii="Times New Roman" w:cs="Times New Roman" w:eastAsia="Times New Roman" w:hAnsi="Times New Roman"/>
          <w:sz w:val="18"/>
          <w:szCs w:val="18"/>
          <w:color w:val="auto"/>
        </w:rPr>
        <w:t>. Except as provided below, or more fully specified in the subordinated indenture and described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 subordinated indenture may be amended or supplemented by us and the trustee with the consent of holders of a majority in principal amount of all affected series of subordinated debt securities that rank equal with each other, treating all such series as a single class. In addition, the record holders of a majority in principal amount of the outstanding subordinated debt securities of all series affected by the waiver that rank equal with each other, treating such series as a single class, may, with respect to those series, waive defaults under, or compliance with, the provisions of the subordinated indenture. Some amendments or waivers, however, require the consent of each holder of any subordinated debt security affected. Without the consent of each affected holder, an amendment or waiver regarding a series of subordinated debt securities may not:</w:t>
      </w:r>
    </w:p>
    <w:p>
      <w:pPr>
        <w:spacing w:after="0" w:line="18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date, or the payment date of any installment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manner or currency of payment of principal of, or interest on, any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a suit for the enforcement of any payment on, or with respect to, or of the conversion of, any security;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ranking of the securities in a manner adverse to the holders of securities;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of holders of securities to convert their securities in accordance with the indenture, or reduce the amount of consideration due upon conversion;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modification or amendment of the indenture or the securities;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aggregate principal amount of outstanding securities whose holders must consent to a waiver of compliance with any provision in the indenture, or the securities or a waiver of any default or event of default;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applicable provisions of the indenture, except to increase the percentage required for modification or waiver or to provide for the consent of each affected holder.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and the trustee under the subordinated indenture may amend or supplement the subordinated indenture or the subordinated debt securities issued thereunder without the consent of any holder to:</w:t>
      </w:r>
    </w:p>
    <w:p>
      <w:pPr>
        <w:spacing w:after="0" w:line="16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of the Company’s obligations under the securities and the indenture;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securities;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for the benefit of the holders or surrender any right or power conferred upon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to cure any omission, ambiguity, manifest error or defect or to correct any inconsistency in the indenture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of the SEC in connection with the qualification of the indenture under the Trust Indenture Act or with the rules of any applicable securities depositary;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issuance of and establish the form and terms and conditions of the securities of any series, to establish the form of any certifications required to be furnished, or to add to the rights of the holders of any series of securities;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events of default;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acceptance or appointment of a successor trustee or to add an additional trustee or agent in accordance with the indenture;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the provisions of the indenture and the securities to the “Description of Notes” section as set forth in a preliminary prospectus supplement related to the offering and sale of the securities, as supplemented by the related pricing term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discussion that follows, we have summarized selected provisions of our certificate of incorporation and bylaws. You should read our certificate of incorporation and bylaws as currently in effect for more details regarding the provisions we describe below and for other provisions that may be important to you. We have filed copies of those documents with the SEC, and they are incorporated by reference herein. Please read “Where You Can Find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common stock and provisions of our certificate of incorporation and bylaws are summaries and are qualified by reference to our certificate of incorporation and bylaws, which have been incorporated by reference as exhibits to the registration statement of which this prospectus forms a part.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5,000,000 shares of preferred stock, par value $0.001 per share, 100,000 of which are designated as Series A Participating Preferred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November 27, 2023, there were 58,788,718 shares of common stock outstanding, and no shares of preferred stock were issued or outstanding. As of November 27, 2023, there also were outstanding (i) options representing the right to purchase a total of 974, 291 shares of common stock at a weighted average exercise price of approximately $1.95 per share, (ii) unvested restricted stock units representing the right to acquire a total of 2,007,754 shares of common stock, and (ii) warrants to purchase up to 4,195,180 shares of our common stock which are exercisable at a price of $3.85.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subject to any preferential dividend rights of outstanding preferred stock.</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present in person or by proxy and entitled to vote. However, our Board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our Board, including a vacancy resulting from an enlargement of our Board, may be filled only by vote of a majority of our directors then in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 Special Meetings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our Board, our chief executive officer, our president or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382 Tax Benefits Preservation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our common stock. Accordingly, there can be no assurance that the tax benefits preservation plan will prevent an “ownership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tax benefits preservation plan, we distributed to our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our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and Bylaws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or the affirmative vote of the holders of at least 75% of the voting power of our capital stock issued and outstanding and entitled to vote on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Share Ownership</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250 Royall Street, Canton, MA 02021-1011, and its telephone number is 1-800-662-7232.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this prospectus supplement, a holder of depositary shares is not entitled to receive the shares of preferred stock underlying the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pro rata or by another equitable method as may be determined by us.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Depositary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or at our option, the depositary, will forward to the holders of depositary shares all reports and communications from us which we are required to furnish to the holders of preferred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 Termination of the Deposit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has expired after the depositary has delivered to us written notice of its election to resign and a successor depositary has not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common stock, depositary shares, purchase contracts or units that are registered pursuant to the registration statement to which this prospectus relates. We may issue warrants independently or together with other securities that are registered pursuant to the registration statement to which this prospectus relates. Warrants sold with other securities may be attached to or separate from the other securities. We will issue each series of warrants under a separate warrant agreement between us and a warrant agent that we will name in the prospectus supplement. We will describe additional terms of the warrants and the applicable warrant agreements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warrants are offered, the prospectus supplement relating to a series of warrants will include the specific terms of the warrants, including:</w:t>
      </w:r>
    </w:p>
    <w:p>
      <w:pPr>
        <w:spacing w:after="0" w:line="225"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or periods during which the warrants can be exercised;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individual certificates to holders or in the form of global securities held by a depositary on behalf of holders;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warrants are issued;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warrants are issued as a unit with another security, the date, if any, on and after which the warrants and the other security will be separately transferable;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price is not payable in U.S. dollars, the foreign currency, currency unit or composite currency in which the exercise price is denominated;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warrants or their exercise;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antidilution provisions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applicable to the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and Exchanges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holder will be able to exchange warrant certificates for new warrant certificates of different denominations, or to transfer warrants, at the corporate trust office of the warrant agent or any other office indicated in the prospectus supplement. Prior to exercise, holders of warrants will have none of the rights of holders of the underlying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will be able to exercise warrants up to 5:00 P.M. New York City time on the date set forth in the prospectus supplement as the expiration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this time, unless we have extended the expiration date, the unexercised warrants will be void.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restrictions and additional requirements that may be set forth in a prospectus supplement, holders of warrants may exercise them by delivering to the warrant agent at its corporate trust office the following:</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properly completed;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exercise price.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soon as practicable after the delivery, we will issue and deliver to the indicated holder the securities purchasable upon exercise. If a holder does not exercise all the warrants represented by a particular certificate, we will also issue a new certificate for the remaining number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Rights of Security Holder Prior to Exercise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purchasable upon the exercise of the warrants, and will not be entitled to:</w:t>
      </w:r>
    </w:p>
    <w:p>
      <w:pPr>
        <w:spacing w:after="0" w:line="162" w:lineRule="exact"/>
        <w:rPr>
          <w:sz w:val="20"/>
          <w:szCs w:val="20"/>
          <w:color w:val="auto"/>
        </w:rPr>
      </w:pPr>
    </w:p>
    <w:p>
      <w:pPr>
        <w:ind w:left="980" w:right="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payments of principal of, premium, if any, or interest, if any, on the debt securities purchasable upon exercise;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equity securities, the right to vote or to receive dividend payments or similar distributions on the securities purchasable upon exercise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agent will act solely as our agent under the relevant warrant agreement and will not assume any obligation or relationship of agency or trust for any warrant holder. A single bank or trust company may act as warrant agent for more than one issue of warrants. A warrant agent will have no duty or responsibility if we default in performing our obligations under the relevant warrant agreement or warrant, including any duty or responsibility to initiate any legal proceedings or to make any demand upon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warrant agents and any of our respective agents may treat the registered holder of any warrant certificate as the absolute owner of the warrants evidenced by that certificate for any purpose and as the person entitled to exercise the rights attaching to the warrants so requested, despite any notice to the contrary.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common stock, preferred stock, depositary shares, other securities described in this prospectus or any combination thereof. These subscription rights may be issued independently or together with any other security offered by us and may or may not be transferable by the securityholder receiving the subscription rights in such offering. In connection with any offering of subscription rights, we may enter into a standby arrangement with one or more underwriters or other investors pursuant to which the underwriters or other investors may be required to purchase any securities remaining unsubscribed for after such offering.</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appropriate, the applicable prospectus supplement will describe the specific terms of the subscription rights to purchase shares of our securities offered thereby, including the following:</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securityholders entitled to the subscription rights distribution;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the common stock, preferred stock, depositary shares or other securities upon the exercise of the subscription right;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issued to each securityholder;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common stock, preferred stock, depositary shares or other securities that may be purchased per each subscription right;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amount of securities receivable upon exercise of the subscription rights or of the exercise price of the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any standby underwriting or purchase arrangement entered into by us in connection with the offering of subscription rights;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transferability, exchange and exercise of the subscription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purchase contracts obligating holders to purchase from us, and us to sell to the holders, a specified number, or amount, of securities at a future date or dates. The purchase contracts may be issued separately or as part of units consisting of a purchase contract and an underlying debt or preferred security covered by this prospectus, U.S. Treasury security or other U.S. government or agency obligation. The holder of the unit may be required to pledge the debt, preferred security, U.S. Treasury security or other U.S. government or agency obligation to secure its obligations under the purchase contract.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purchase contracts are offered, the prospectus supplement will specify the material terms of the purchase contracts, the units and any applicable pledge or depository arrangements, including one or more of the following:</w:t>
      </w:r>
    </w:p>
    <w:p>
      <w:pPr>
        <w:spacing w:after="0" w:line="162"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amount that a holder will be obligated to pay under the purchase contract in order to purchase the underlying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or dates on which the holder will be obligated to purchase the underlying security and whether the occurrence of any events may cause the settlement date to occur on an earlier date and the terms on which any early settlement would occur;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events, if any, that will cause our obligations and the obligations of the holder under the purchase contract to terminate;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rate, which is a number that, when multiplied by the stated amount of a purchase contract, determines the number, or amount, of securities that we will be obligated to sell and a holder will be obligated to purchase under that purchase contract upon payment of the stated amount of that purchase contract;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separately or as part of units consisting of a purchase contract and an underlying debt or preferred security with an aggregate principal amount or liquidation amount equal to the stated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security, if any, that is pledged by the holder to secure its obligations under a purchase contract;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pledge arrangement relating to the security, including the terms on which distributions or payments of interest and principal on the security will be retained by a collateral agent, delivered to us or be distributed to the holder;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contract fee, if any, that may be payable by us to the holder or by the holder to us, the date or dates on which the contract fee will be payable and the extent to which we or the holder, as applicable, may defer payment of the contract fee on those payment 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shares of common stock, shares of preferred stock, warrants, debt securities, subscription rights, purchase contracts or any combination of such securities. The applicable prospectus supplement will describe:</w:t>
      </w:r>
    </w:p>
    <w:p>
      <w:pPr>
        <w:spacing w:after="0" w:line="176" w:lineRule="exact"/>
        <w:rPr>
          <w:sz w:val="20"/>
          <w:szCs w:val="20"/>
          <w:color w:val="auto"/>
        </w:rPr>
      </w:pPr>
    </w:p>
    <w:p>
      <w:pPr>
        <w:ind w:left="980" w:hanging="324"/>
        <w:spacing w:after="0" w:line="282" w:lineRule="auto"/>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comprising the units, including whether and under what circumstances the securities comprising the units may be separately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applicable to the units, including a description of the terms of any applicable unit agreement governing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the debt securities, warrants, purchase contracts and units of any series in the form of one or more fully registered global securities that will be deposited with a depositary or with a nominee for a depositary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that have accounts with the depositary for such global security known as “participants” or persons that may hold interests through such participants.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issuance of a global security, the depositary for such global security will credit, on its book-entry registration and transfer system, the participants’ accounts with the respective principal or face amounts of the securities represented by the global security beneficially owned by the participants. The accounts to be credited shall be designated by any dealers, underwriters or agents participating in the distribution of such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the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securities represented by a global security, or its nominee,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or its nominee.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our securities from time to time through underwriters, dealers or agents or directly to purchasers, in one or more transactions at a fixed price or prices, which may be changed, or at market prices prevailing at the time of sale, at prices related to such prevailing market prices or at negotiated prices. We may also sell our securities upon the exercise of subscription rights that may be distributed to security holders. We may use these methods in any combination.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in a prospectus supplement, information incorporated by reference or any related free writing prospectus, including:</w:t>
      </w:r>
    </w:p>
    <w:p>
      <w:pPr>
        <w:spacing w:after="0" w:line="162"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Only underwriters we name in the prospectus supplement, information incorporated by reference or any related free writing prospectus are underwriters of the securities offered thereby.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w:t>
      </w:r>
    </w:p>
    <w:p>
      <w:pPr>
        <w:spacing w:after="0" w:line="225"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(which may involve crosses) and transactions on the NASDAQ or any other organized market where the securities may be traded;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Underwriters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our securities.</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the offered securities will be acquired by the underwriters for their own account.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any other underwriters, and the terms of the transactions, including the compensation the underwriters and dealers will receive,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this prospectus and the prospectus supplement to sell our securities.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also sell securities pursuant to one or more standby agreements with one or more underwriters in connection with the call, redemption or exchange of a specified class or series of any of our outstanding securities. In a standby agreement, the underwriter or underwriters would agree either:</w:t>
      </w:r>
    </w:p>
    <w:p>
      <w:pPr>
        <w:spacing w:after="0" w:line="162" w:lineRule="exact"/>
        <w:rPr>
          <w:sz w:val="20"/>
          <w:szCs w:val="20"/>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the number of shares of common stock that would be issuable upon conversion or exchange of all the shares of the class or series of our securities at an agreed price per share of common stock;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from us up to a specified dollar amount of offered securities at an agreed price per offered security, which price may be fixed or may be established by formula or other method and which may or may not relate to market prices of our common stock or any other outstanding security.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 or underwriters would also agree, if applicable, to convert or exchange any securities of the class or series held or purchased by the underwriter or underwriters into or for our common stock or other security.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or underwriters may assist in the solicitation of conversions or exchanges by holders of the class or series of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Dealers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use a dealer to sell our securities.</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as principal, will sell our securities to the dealer.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resell our securities to the public at varying prices that the dealer will determine at the time it sells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our transactions with the dealer in the prospectus supplement.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Agents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designate agents to solicit offers to purchase our securities.</w:t>
      </w:r>
    </w:p>
    <w:p>
      <w:pPr>
        <w:spacing w:after="0" w:line="225" w:lineRule="exact"/>
        <w:rPr>
          <w:sz w:val="20"/>
          <w:szCs w:val="20"/>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name any agent involved in offering or selling our securities and any commissions that we will pay to the agent in the prospectus supplement.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our agents will act on a best efforts basis for the period of their appointment.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agents may be deemed to be underwriters under the Securities Act of any of our securities that they offer or sell.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Delayed Delivery Contracts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authorize our agents and underwriters to solicit offers by certain institutions to purchase our securities at the public offering price under delayed delivery contracts.</w:t>
      </w:r>
    </w:p>
    <w:p>
      <w:pPr>
        <w:spacing w:after="0" w:line="162"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set forth in the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indicate in the prospectus supplement the commission that underwriters and agents soliciting purchases of our securities under delayed delivery contracts will be entitled to receive.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directly solicit offers to purchase our securities, and we may directly sell our securities to institutional or other investors, including our affiliates. We will describe the terms of our direct sales in the prospectus supplement. We may also sell our securities upon the exercise of rights which we may issue.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our securities may be underwriters as defined in the Securities Act, and any discounts or commissions they receive and any profit 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series of securities offered by this prospectus (other than common stock)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 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 Underwriters, dealers and agents may be customers of, engage in transactions with or perform services for, us and our subsidiaries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other offering materials; however, it is anticipated that the maximum commission or discount to be received in any particular offering of securities will be less than this amount.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on for us by Porter Hedges LLP, Houston, Texas. Any underwriters will be advised about other issues relating to any offering by their own legal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Ocean Power Technologies, Inc. and subsidiaries as of April 30, 2023 and 2022 and the related consolidated statements of operations, comprehensive loss, stockholders’ equity, and cash flows for each of the years then ended, have been audited by EisnerAmper LLP, independent registered public accounting firm, as stated in their report, which is incorporated herein by reference. Such consolidated financial statements have been incorporated herein by reference in reliance 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448945</wp:posOffset>
            </wp:positionV>
            <wp:extent cx="2494280" cy="5740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2494280" cy="5740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$10,000,000 of Series C-1 Senior Convertible Notes due 2027</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Roman"/>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lowerRoman"/>
      <w:start w:val="2"/>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609"/>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jpe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jpeg"/><Relationship Id="rId89" Type="http://schemas.openxmlformats.org/officeDocument/2006/relationships/image" Target="media/image40.jpeg"/><Relationship Id="rId90" Type="http://schemas.openxmlformats.org/officeDocument/2006/relationships/image" Target="media/image41.jpe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jpeg"/><Relationship Id="rId120" Type="http://schemas.openxmlformats.org/officeDocument/2006/relationships/image" Target="media/image71.png"/><Relationship Id="rId30" Type="http://schemas.openxmlformats.org/officeDocument/2006/relationships/hyperlink" Target="https://www.sec.gov/Archives/edgar/data/1378140/000164117225020888/form10-k.htm" TargetMode="External"/><Relationship Id="rId31" Type="http://schemas.openxmlformats.org/officeDocument/2006/relationships/hyperlink" Target="http://www.sec.gov/Archives/edgar/data/1378140/000149315225013473/form10-q.htm" TargetMode="External"/><Relationship Id="rId32" Type="http://schemas.openxmlformats.org/officeDocument/2006/relationships/hyperlink" Target="http://www.sec.gov/Archives/edgar/data/1378140/000149315225027644/form10-q.htm" TargetMode="External"/><Relationship Id="rId33" Type="http://schemas.openxmlformats.org/officeDocument/2006/relationships/hyperlink" Target="http://www.sec.gov/Archives/edgar/data/1378140/000149315226010556/form10-q.htm" TargetMode="External"/><Relationship Id="rId34" Type="http://schemas.openxmlformats.org/officeDocument/2006/relationships/hyperlink" Target="https://www.sec.gov/Archives/edgar/data/1378140/000164117225013665/form8-k.htm" TargetMode="External"/><Relationship Id="rId35" Type="http://schemas.openxmlformats.org/officeDocument/2006/relationships/hyperlink" Target="https://www.sec.gov/Archives/edgar/data/1378140/000164117225014028/form8-k.htm" TargetMode="External"/><Relationship Id="rId36" Type="http://schemas.openxmlformats.org/officeDocument/2006/relationships/hyperlink" Target="https://www.sec.gov/Archives/edgar/data/1378140/000164117225017126/form8-k.htm" TargetMode="External"/><Relationship Id="rId37" Type="http://schemas.openxmlformats.org/officeDocument/2006/relationships/hyperlink" Target="https://www.sec.gov/Archives/edgar/data/1378140/000164117225019501/form8-k.htm" TargetMode="External"/><Relationship Id="rId38" Type="http://schemas.openxmlformats.org/officeDocument/2006/relationships/hyperlink" Target="https://www.sec.gov/Archives/edgar/data/1378140/000164117225021008/form8-k.htm" TargetMode="External"/><Relationship Id="rId39" Type="http://schemas.openxmlformats.org/officeDocument/2006/relationships/hyperlink" Target="https://www.sec.gov/Archives/edgar/data/1378140/000164117225022274/form8-k.htm" TargetMode="External"/><Relationship Id="rId40" Type="http://schemas.openxmlformats.org/officeDocument/2006/relationships/hyperlink" Target="https://www.sec.gov/Archives/edgar/data/1378140/000164117225022761/form8-k.htm" TargetMode="External"/><Relationship Id="rId41" Type="http://schemas.openxmlformats.org/officeDocument/2006/relationships/hyperlink" Target="https://www.sec.gov/Archives/edgar/data/1378140/000164117225024738/form8-k.htm" TargetMode="External"/><Relationship Id="rId42" Type="http://schemas.openxmlformats.org/officeDocument/2006/relationships/hyperlink" Target="https://www.sec.gov/Archives/edgar/data/1378140/000164117225025689/form8-k.htm" TargetMode="External"/><Relationship Id="rId43" Type="http://schemas.openxmlformats.org/officeDocument/2006/relationships/hyperlink" Target="https://www.sec.gov/Archives/edgar/data/1378140/000149315225012591/form8-k.htm" TargetMode="External"/><Relationship Id="rId44" Type="http://schemas.openxmlformats.org/officeDocument/2006/relationships/hyperlink" Target="https://www.sec.gov/Archives/edgar/data/1378140/000149315225013624/form8-k.htm" TargetMode="External"/><Relationship Id="rId45" Type="http://schemas.openxmlformats.org/officeDocument/2006/relationships/hyperlink" Target="https://www.sec.gov/Archives/edgar/data/1378140/000149315225017184/form8-k.htm" TargetMode="External"/><Relationship Id="rId46" Type="http://schemas.openxmlformats.org/officeDocument/2006/relationships/hyperlink" Target="https://www.sec.gov/Archives/edgar/data/1378140/000149315225020955/form8-k.htm" TargetMode="External"/><Relationship Id="rId47" Type="http://schemas.openxmlformats.org/officeDocument/2006/relationships/hyperlink" Target="https://www.sec.gov/Archives/edgar/data/1378140/000149315225021902/form8-k.htm" TargetMode="External"/><Relationship Id="rId48" Type="http://schemas.openxmlformats.org/officeDocument/2006/relationships/hyperlink" Target="https://www.sec.gov/Archives/edgar/data/1378140/000149315225027865/form8-k.htm" TargetMode="External"/><Relationship Id="rId49" Type="http://schemas.openxmlformats.org/officeDocument/2006/relationships/hyperlink" Target="https://www.sec.gov/Archives/edgar/data/1378140/000149315226000524/form8-k.htm" TargetMode="External"/><Relationship Id="rId50" Type="http://schemas.openxmlformats.org/officeDocument/2006/relationships/hyperlink" Target="https://www.sec.gov/Archives/edgar/data/1378140/000149315226001119/form8-k.htm" TargetMode="External"/><Relationship Id="rId51" Type="http://schemas.openxmlformats.org/officeDocument/2006/relationships/hyperlink" Target="https://www.sec.gov/Archives/edgar/data/1378140/000149315226004017/form8-k.htm" TargetMode="External"/><Relationship Id="rId52" Type="http://schemas.openxmlformats.org/officeDocument/2006/relationships/hyperlink" Target="https://www.sec.gov/Archives/edgar/data/1378140/000149315226007895/form8-k.htm" TargetMode="External"/><Relationship Id="rId53" Type="http://schemas.openxmlformats.org/officeDocument/2006/relationships/hyperlink" Target="https://www.sec.gov/Archives/edgar/data/1378140/000149315226008546/form8-k.htm" TargetMode="External"/><Relationship Id="rId54" Type="http://schemas.openxmlformats.org/officeDocument/2006/relationships/hyperlink" Target="https://www.sec.gov/Archives/edgar/data/1378140/000149315226010048/form8-k.htm" TargetMode="External"/><Relationship Id="rId55" Type="http://schemas.openxmlformats.org/officeDocument/2006/relationships/hyperlink" Target="https://www.sec.gov/Archives/edgar/data/1378140/000149315226012815/form8-k.htm" TargetMode="External"/><Relationship Id="rId56" Type="http://schemas.openxmlformats.org/officeDocument/2006/relationships/hyperlink" Target="https://www.sec.gov/Archives/edgar/data/1378140/000095012307005612/y257908ae8va12b.htm" TargetMode="External"/><Relationship Id="rId66" Type="http://schemas.openxmlformats.org/officeDocument/2006/relationships/hyperlink" Target="https://www.sec.gov/Archives/edgar/data/1378140/000149315223025878/form10-k.htm" TargetMode="External"/><Relationship Id="rId67" Type="http://schemas.openxmlformats.org/officeDocument/2006/relationships/hyperlink" Target="https://www.sec.gov/Archives/edgar/data/1378140/000149315223030358/form10-ka.htm" TargetMode="External"/><Relationship Id="rId68" Type="http://schemas.openxmlformats.org/officeDocument/2006/relationships/hyperlink" Target="https://www.sec.gov/Archives/edgar/data/1378140/000149315223032485/form10-q.htm" TargetMode="External"/><Relationship Id="rId69" Type="http://schemas.openxmlformats.org/officeDocument/2006/relationships/hyperlink" Target="https://www.sec.gov/Archives/edgar/data/1378140/000149315223020565/form8-k.htm" TargetMode="External"/><Relationship Id="rId70" Type="http://schemas.openxmlformats.org/officeDocument/2006/relationships/hyperlink" Target="https://www.sec.gov/Archives/edgar/data/1378140/000149315223020665/form8-k.htm" TargetMode="External"/><Relationship Id="rId71" Type="http://schemas.openxmlformats.org/officeDocument/2006/relationships/hyperlink" Target="https://www.sec.gov/Archives/edgar/data/1378140/000149315223023008/form8-k.htm" TargetMode="External"/><Relationship Id="rId72" Type="http://schemas.openxmlformats.org/officeDocument/2006/relationships/hyperlink" Target="https://www.sec.gov/Archives/edgar/data/1378140/000149315223027012/form8-k.htm" TargetMode="External"/><Relationship Id="rId73" Type="http://schemas.openxmlformats.org/officeDocument/2006/relationships/hyperlink" Target="https://www.sec.gov/Archives/edgar/data/1378140/000149315223032093/form8-k.htm" TargetMode="External"/><Relationship Id="rId74" Type="http://schemas.openxmlformats.org/officeDocument/2006/relationships/hyperlink" Target="https://www.sec.gov/Archives/edgar/data/1378140/000149315223032416/form8-k.htm" TargetMode="External"/><Relationship Id="rId75" Type="http://schemas.openxmlformats.org/officeDocument/2006/relationships/hyperlink" Target="https://www.sec.gov/Archives/edgar/data/1378140/000149315223036991/form8-k.htm" TargetMode="External"/><Relationship Id="rId76" Type="http://schemas.openxmlformats.org/officeDocument/2006/relationships/hyperlink" Target="https://www.sec.gov/ix?doc=/Archives/edgar/data/1378140/000149315223038119/form8-k.htm" TargetMode="External"/><Relationship Id="rId77" Type="http://schemas.openxmlformats.org/officeDocument/2006/relationships/hyperlink" Target="https://www.sec.gov/ix?doc=/Archives/edgar/data/1378140/000149315223038207/form8-k.htm" TargetMode="External"/><Relationship Id="rId78" Type="http://schemas.openxmlformats.org/officeDocument/2006/relationships/hyperlink" Target="https://www.sec.gov/ix?doc=/Archives/edgar/data/1378140/000149315223039777/form8-k.htm" TargetMode="External"/><Relationship Id="rId79" Type="http://schemas.openxmlformats.org/officeDocument/2006/relationships/hyperlink" Target="https://www.sec.gov/ix?doc=/Archives/edgar/data/1378140/000149315223041664/form8-k.htm" TargetMode="External"/><Relationship Id="rId80" Type="http://schemas.openxmlformats.org/officeDocument/2006/relationships/hyperlink" Target="https://www.sec.gov/Archives/edgar/data/1378140/000149315223023117/form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2026-04-01T08:33:20Z</dcterms:created>
  <dcterms:modified xsi:type="dcterms:W3CDTF">2026-04-01T08:33:20Z</dcterms:modified>
</cp:coreProperties>
</file>