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s-1a.htm"/>
      <w:bookmarkStart w:id="1" w:name="ksforms1a"/>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September 25,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No. 333-298559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Amendment No. 1 to</w:t>
      </w:r>
      <w:r>
        <w:rPr>
          <w:rFonts w:ascii="Times New Roman;Times;Serif" w:hAnsi="Times New Roman;Times;Serif"/>
          <w:b w:val="false"/>
          <w:i w:val="false"/>
          <w:caps w:val="false"/>
          <w:smallCaps w:val="false"/>
          <w:sz w:val="36"/>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Ocean Power Technologies,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2705"/>
        <w:gridCol w:w="60"/>
        <w:gridCol w:w="1535"/>
      </w:tblGrid>
      <w:tr>
        <w:trPr/>
        <w:tc>
          <w:tcPr>
            <w:tcW w:w="27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22-2535818</w:t>
            </w:r>
          </w:p>
        </w:tc>
      </w:tr>
      <w:tr>
        <w:trPr/>
        <w:tc>
          <w:tcPr>
            <w:tcW w:w="270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 Engelhard Drive, Suite B</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Monroe Township, New Jersey 08831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(609) 730-0400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Robert Powers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 Engelhard Drive, Suite B</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Monroe Township, New Jersey 08831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(609) 730-0400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Kevin Poli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Porter Hedges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 Main Street, 36th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Houston, Texas 77002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(713) 226-6682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Telecopy: (713) 228-1331</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 date of commencement of proposed sale to the public: From time to time after this registration statement becomes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and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720"/>
        <w:jc w:val="both"/>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2450"/>
        <w:gridCol w:w="24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tc>
        <w:tc>
          <w:tcPr>
            <w:tcW w:w="246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firstLine="288"/>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firstLine="288"/>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Subject to completion, dated September 25,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771775"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71775" cy="6381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366,162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identified in this prospectus (which term as used in this prospectus includes their respective partners, pledgees, donees (including charitable organizations), transferees or other successors-in-interest) may offer this common stock from time to time through public or private transactions at prevailing market prices, at prices related to prevailing market prices or at privately negotiated prices.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registered under the registration statement of which this prospectus forms a part include 366,162 shares issued as consideration in an acquisition in June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will incur expenses in connection with the registration of the securities, we will not receive any of the proceeds from the sale of the shares of common stock by the selling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quoted on the NYSE American under the symbol “OPTT.” The last reported sale price of our common stock on September 22, 2026 was $2.12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significant risks that are described in the “Risk Factors” section beginning on page 4 of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TABLE OF CONTENTS </w:t>
      </w:r>
    </w:p>
    <w:p>
      <w:pPr>
        <w:pStyle w:val="TextBody"/>
        <w:bidi w:val="0"/>
        <w:spacing w:before="0" w:after="0"/>
        <w:ind w:left="0" w:right="0" w:hanging="0"/>
        <w:jc w:val="center"/>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6245"/>
        <w:gridCol w:w="425"/>
      </w:tblGrid>
      <w:tr>
        <w:trPr/>
        <w:tc>
          <w:tcPr>
            <w:tcW w:w="624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624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ns_001">
              <w:r>
                <w:rPr>
                  <w:rStyle w:val="InternetLink"/>
                  <w:rFonts w:ascii="Times New Roman;Times;Serif" w:hAnsi="Times New Roman;Times;Serif"/>
                  <w:b w:val="false"/>
                  <w:i w:val="false"/>
                  <w:caps/>
                  <w:sz w:val="20"/>
                </w:rPr>
                <w:t>ABOUT THIS PROSPECTUS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6245" w:type="dxa"/>
            <w:tcBorders/>
            <w:shd w:fill="FFFFFF" w:val="clear"/>
            <w:vAlign w:val="center"/>
          </w:tcPr>
          <w:p>
            <w:pPr>
              <w:pStyle w:val="TableContents"/>
              <w:bidi w:val="0"/>
              <w:spacing w:before="0" w:after="283"/>
              <w:jc w:val="left"/>
              <w:rPr/>
            </w:pPr>
            <w:hyperlink w:anchor="ns_002">
              <w:r>
                <w:rPr>
                  <w:rStyle w:val="InternetLink"/>
                  <w:rFonts w:ascii="Times New Roman;Times;Serif" w:hAnsi="Times New Roman;Times;Serif"/>
                  <w:b w:val="false"/>
                  <w:i w:val="false"/>
                  <w:caps/>
                  <w:sz w:val="20"/>
                </w:rPr>
                <w:t>ocean power technologies, Inc.</w:t>
              </w:r>
            </w:hyperlink>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1</w:t>
            </w:r>
          </w:p>
        </w:tc>
      </w:tr>
      <w:tr>
        <w:trPr/>
        <w:tc>
          <w:tcPr>
            <w:tcW w:w="6245" w:type="dxa"/>
            <w:tcBorders/>
            <w:shd w:fill="CCEEFF" w:val="clear"/>
            <w:vAlign w:val="center"/>
          </w:tcPr>
          <w:p>
            <w:pPr>
              <w:pStyle w:val="TableContents"/>
              <w:bidi w:val="0"/>
              <w:spacing w:before="0" w:after="283"/>
              <w:jc w:val="left"/>
              <w:rPr/>
            </w:pPr>
            <w:hyperlink w:anchor="ns_003">
              <w:r>
                <w:rPr>
                  <w:rStyle w:val="InternetLink"/>
                  <w:rFonts w:ascii="Times New Roman;Times;Serif" w:hAnsi="Times New Roman;Times;Serif"/>
                  <w:b w:val="false"/>
                  <w:i w:val="false"/>
                  <w:caps/>
                  <w:sz w:val="20"/>
                </w:rPr>
                <w:t>CAUTIONARY NOTE REGARDING FORWARD-LOOKING STATEMENTS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2</w:t>
            </w:r>
          </w:p>
        </w:tc>
      </w:tr>
      <w:tr>
        <w:trPr/>
        <w:tc>
          <w:tcPr>
            <w:tcW w:w="6245" w:type="dxa"/>
            <w:tcBorders/>
            <w:shd w:fill="FFFFFF" w:val="clear"/>
            <w:vAlign w:val="center"/>
          </w:tcPr>
          <w:p>
            <w:pPr>
              <w:pStyle w:val="TableContents"/>
              <w:bidi w:val="0"/>
              <w:spacing w:before="0" w:after="283"/>
              <w:jc w:val="left"/>
              <w:rPr/>
            </w:pPr>
            <w:hyperlink w:anchor="ns_004">
              <w:r>
                <w:rPr>
                  <w:rStyle w:val="InternetLink"/>
                  <w:rFonts w:ascii="Times New Roman;Times;Serif" w:hAnsi="Times New Roman;Times;Serif"/>
                  <w:b w:val="false"/>
                  <w:i w:val="false"/>
                  <w:caps/>
                  <w:sz w:val="20"/>
                </w:rPr>
                <w:t>WHERE YOU CAN FIND MORE INFORMATION</w:t>
              </w:r>
            </w:hyperlink>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3</w:t>
            </w:r>
          </w:p>
        </w:tc>
      </w:tr>
      <w:tr>
        <w:trPr/>
        <w:tc>
          <w:tcPr>
            <w:tcW w:w="6245" w:type="dxa"/>
            <w:tcBorders/>
            <w:shd w:fill="CCEEFF" w:val="clear"/>
            <w:vAlign w:val="center"/>
          </w:tcPr>
          <w:p>
            <w:pPr>
              <w:pStyle w:val="TableContents"/>
              <w:bidi w:val="0"/>
              <w:spacing w:before="0" w:after="283"/>
              <w:jc w:val="left"/>
              <w:rPr/>
            </w:pPr>
            <w:hyperlink w:anchor="ns_005">
              <w:r>
                <w:rPr>
                  <w:rStyle w:val="InternetLink"/>
                  <w:rFonts w:ascii="Times New Roman;Times;Serif" w:hAnsi="Times New Roman;Times;Serif"/>
                  <w:b w:val="false"/>
                  <w:i w:val="false"/>
                  <w:caps/>
                  <w:sz w:val="20"/>
                </w:rPr>
                <w:t>INCORPORATION OF CERTAIN DOCUMENTS BY REFERENCE</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3</w:t>
            </w:r>
          </w:p>
        </w:tc>
      </w:tr>
      <w:tr>
        <w:trPr/>
        <w:tc>
          <w:tcPr>
            <w:tcW w:w="6245" w:type="dxa"/>
            <w:tcBorders/>
            <w:shd w:fill="FFFFFF" w:val="clear"/>
            <w:vAlign w:val="center"/>
          </w:tcPr>
          <w:p>
            <w:pPr>
              <w:pStyle w:val="TableContents"/>
              <w:bidi w:val="0"/>
              <w:spacing w:before="0" w:after="283"/>
              <w:jc w:val="left"/>
              <w:rPr/>
            </w:pPr>
            <w:hyperlink w:anchor="ns_006">
              <w:r>
                <w:rPr>
                  <w:rStyle w:val="InternetLink"/>
                  <w:rFonts w:ascii="Times New Roman;Times;Serif" w:hAnsi="Times New Roman;Times;Serif"/>
                  <w:b w:val="false"/>
                  <w:i w:val="false"/>
                  <w:caps/>
                  <w:sz w:val="20"/>
                </w:rPr>
                <w:t>RISK FACTORS</w:t>
              </w:r>
            </w:hyperlink>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4</w:t>
            </w:r>
          </w:p>
        </w:tc>
      </w:tr>
      <w:tr>
        <w:trPr/>
        <w:tc>
          <w:tcPr>
            <w:tcW w:w="6245" w:type="dxa"/>
            <w:tcBorders/>
            <w:shd w:fill="CCEEFF" w:val="clear"/>
            <w:vAlign w:val="center"/>
          </w:tcPr>
          <w:p>
            <w:pPr>
              <w:pStyle w:val="TableContents"/>
              <w:bidi w:val="0"/>
              <w:spacing w:before="0" w:after="283"/>
              <w:jc w:val="left"/>
              <w:rPr/>
            </w:pPr>
            <w:hyperlink w:anchor="ns_007">
              <w:r>
                <w:rPr>
                  <w:rStyle w:val="InternetLink"/>
                  <w:rFonts w:ascii="Times New Roman;Times;Serif" w:hAnsi="Times New Roman;Times;Serif"/>
                  <w:b w:val="false"/>
                  <w:i w:val="false"/>
                  <w:caps/>
                  <w:sz w:val="20"/>
                </w:rPr>
                <w:t>USE OF PROCEEDS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5</w:t>
            </w:r>
          </w:p>
        </w:tc>
      </w:tr>
      <w:tr>
        <w:trPr/>
        <w:tc>
          <w:tcPr>
            <w:tcW w:w="6245" w:type="dxa"/>
            <w:tcBorders/>
            <w:shd w:fill="FFFFFF" w:val="clear"/>
            <w:vAlign w:val="center"/>
          </w:tcPr>
          <w:p>
            <w:pPr>
              <w:pStyle w:val="TableContents"/>
              <w:bidi w:val="0"/>
              <w:spacing w:before="0" w:after="283"/>
              <w:jc w:val="left"/>
              <w:rPr/>
            </w:pPr>
            <w:hyperlink w:anchor="ns_008">
              <w:r>
                <w:rPr>
                  <w:rStyle w:val="InternetLink"/>
                  <w:rFonts w:ascii="Times New Roman;Times;Serif" w:hAnsi="Times New Roman;Times;Serif"/>
                  <w:b w:val="false"/>
                  <w:i w:val="false"/>
                  <w:caps/>
                  <w:sz w:val="20"/>
                </w:rPr>
                <w:t>DESCRIPTION OF CAPITAL STOCK</w:t>
              </w:r>
            </w:hyperlink>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6</w:t>
            </w:r>
          </w:p>
        </w:tc>
      </w:tr>
      <w:tr>
        <w:trPr/>
        <w:tc>
          <w:tcPr>
            <w:tcW w:w="6245" w:type="dxa"/>
            <w:tcBorders/>
            <w:shd w:fill="CCEEFF" w:val="clear"/>
            <w:vAlign w:val="center"/>
          </w:tcPr>
          <w:p>
            <w:pPr>
              <w:pStyle w:val="TableContents"/>
              <w:bidi w:val="0"/>
              <w:spacing w:before="0" w:after="283"/>
              <w:jc w:val="left"/>
              <w:rPr/>
            </w:pPr>
            <w:hyperlink w:anchor="ns_009">
              <w:r>
                <w:rPr>
                  <w:rStyle w:val="InternetLink"/>
                  <w:rFonts w:ascii="Times New Roman;Times;Serif" w:hAnsi="Times New Roman;Times;Serif"/>
                  <w:b w:val="false"/>
                  <w:i w:val="false"/>
                  <w:caps/>
                  <w:sz w:val="20"/>
                </w:rPr>
                <w:t>SELLING STOCKHOLDERS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6245" w:type="dxa"/>
            <w:tcBorders/>
            <w:shd w:fill="FFFFFF" w:val="clear"/>
            <w:vAlign w:val="center"/>
          </w:tcPr>
          <w:p>
            <w:pPr>
              <w:pStyle w:val="TableContents"/>
              <w:bidi w:val="0"/>
              <w:spacing w:before="0" w:after="283"/>
              <w:jc w:val="left"/>
              <w:rPr/>
            </w:pPr>
            <w:hyperlink w:anchor="ns_010">
              <w:r>
                <w:rPr>
                  <w:rStyle w:val="InternetLink"/>
                  <w:rFonts w:ascii="Times New Roman;Times;Serif" w:hAnsi="Times New Roman;Times;Serif"/>
                  <w:b w:val="false"/>
                  <w:i w:val="false"/>
                  <w:caps/>
                  <w:sz w:val="20"/>
                </w:rPr>
                <w:t>PLAN OF DISTRIBUTION</w:t>
              </w:r>
            </w:hyperlink>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11</w:t>
            </w:r>
          </w:p>
        </w:tc>
      </w:tr>
      <w:tr>
        <w:trPr/>
        <w:tc>
          <w:tcPr>
            <w:tcW w:w="6245" w:type="dxa"/>
            <w:tcBorders/>
            <w:shd w:fill="CCEEFF" w:val="clear"/>
            <w:vAlign w:val="center"/>
          </w:tcPr>
          <w:p>
            <w:pPr>
              <w:pStyle w:val="TableContents"/>
              <w:bidi w:val="0"/>
              <w:spacing w:before="0" w:after="283"/>
              <w:jc w:val="left"/>
              <w:rPr/>
            </w:pPr>
            <w:hyperlink w:anchor="ns_011">
              <w:r>
                <w:rPr>
                  <w:rStyle w:val="InternetLink"/>
                  <w:rFonts w:ascii="Times New Roman;Times;Serif" w:hAnsi="Times New Roman;Times;Serif"/>
                  <w:b w:val="false"/>
                  <w:i w:val="false"/>
                  <w:caps/>
                  <w:sz w:val="20"/>
                </w:rPr>
                <w:t>LEGAL MATTERS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13</w:t>
            </w:r>
          </w:p>
        </w:tc>
      </w:tr>
      <w:tr>
        <w:trPr/>
        <w:tc>
          <w:tcPr>
            <w:tcW w:w="6245" w:type="dxa"/>
            <w:tcBorders/>
            <w:shd w:fill="FFFFFF" w:val="clear"/>
            <w:vAlign w:val="center"/>
          </w:tcPr>
          <w:p>
            <w:pPr>
              <w:pStyle w:val="TableContents"/>
              <w:bidi w:val="0"/>
              <w:spacing w:before="0" w:after="283"/>
              <w:jc w:val="left"/>
              <w:rPr/>
            </w:pPr>
            <w:hyperlink w:anchor="ns_012">
              <w:r>
                <w:rPr>
                  <w:rStyle w:val="InternetLink"/>
                  <w:rFonts w:ascii="Times New Roman;Times;Serif" w:hAnsi="Times New Roman;Times;Serif"/>
                  <w:b w:val="false"/>
                  <w:i w:val="false"/>
                  <w:caps/>
                  <w:sz w:val="20"/>
                </w:rPr>
                <w:t>EXPERTS</w:t>
              </w:r>
            </w:hyperlink>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13</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ns_001"/>
      <w:bookmarkEnd w:id="2"/>
      <w:r>
        <w:rPr>
          <w:rFonts w:ascii="Times New Roman;Times;Serif" w:hAnsi="Times New Roman;Times;Serif"/>
          <w:b/>
          <w:i w:val="false"/>
          <w:caps/>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or the Commission. Under this registration statement, the selling stockholders named in this prospectus or any supplement to this prospectus may sell from time to time the securities described in this prospectus in one or more offerings. This prospectus provides you with a general description of the securities the selling stockholders may offer. To the extent appropriate, we may provide a prospectus supplement that contains specific information about the terms of the offering. A prospectus supplement may also add, update or change information contained in this prospectus. Any statement that we make in this prospectus will be modified or superseded by any inconsistent statement made by us in a prospectus supplement. You should read both this prospectus and any prospectus supplement together with the information incorporated herein by reference as described under the heading “Incorporation of Certain Documents By Reference” and the additional information described under the heading “Where You Can Find More Information,” before buying any of the securities being offered.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or incorporated by reference into this prospectus or any prospectus supplement. We have not authorized anyone to provide you with additional or different information. The selling stockholders are offering to sell, and seeking offers to buy, shares of common stock only in jurisdictions where offers and sales are permitted.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forward-looking statements that are subject to a number of risks and uncertainties, many of which are beyond our control. Please read “Risk Factors” and “Cautionary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delivery of this prospectus nor any sale made under it implies that there has been no change in our affairs or that the information in this prospectus is correct as of any date after the date of this prospectus. You should assume that the information in this prospectus, any applicable prospectus supplement or any related free writing prospectus is accurate only as of the date on the front of the document and that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ns_002"/>
      <w:bookmarkEnd w:id="3"/>
      <w:r>
        <w:rPr>
          <w:rFonts w:ascii="Times New Roman;Times;Serif" w:hAnsi="Times New Roman;Times;Serif"/>
          <w:b/>
          <w:i w:val="false"/>
          <w:caps/>
          <w:sz w:val="20"/>
        </w:rPr>
        <w:t>ocean power technologies,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unless otherwise indicated, “we,” “our,” “us,” “Company” or similar terms refer collectively to Ocean Power Technologies, Inc., and not the subsidiaries of Ocean Power Technologies,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Maritime Domain Awareness (MDA) company specializing in innovative intelligent maritime solutions. These solutions include a variety of “as a service” systems, including Data as a Service (DaaS), Robotics as a Service (RaaS), and Power as a Service (PaaS). These systems consist of a variety of platforms including the PowerBuoy®, our persistent sensor and power solution, the WAM-V® (Wave Adaptive Modular Vessel), our autonomous unmanned surface vehicle, and Merrows™, our user interface and command and control (C2) system that integrates multiple sensor feeds using software and hardware and enables artificial intelligence and machine learning (AI/ML) integration. We design, manufacture, deploy, and operate these systems for defense, security, subsea infrastructure, offshore oil and gas, offshore energy, marine research, and communication markets. We operate primarily through a combination of direct sales and leases, strategic partnerships, and long-term service agreements. Our business model emphasizes capital-light deployments, recurring revenue from service and maintenance contracts, and high-margin technology sales and leases.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serve a global customer base, including the U.S. and allied defense agencies, offshore energy operators, and commercial interests. The common thread across these markets is the growing need for a persistent, autonomous, and sustainable offshore presence, a need we are uniquely positioned to fulfill.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hold numerous patents and leverages decades of research including control systems, energy storage, and marine integration. Our headquarters and assembly operations are located in New Jersey, and we maintain an additional manufacturing and robotics development facility in Richmond, CA. In addition, we maintain an office at the Association for Uncrewed Vehicle Systems International (AUVSI) headquarters in Washington, D.C., which serves to strengthen our strategic position in the fast-growing uncrewed systems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enabling a smarter, safer ocean economy through innovation in ocean intelligence and power. As we look forward, our strategic priorities include expanding our customer and geographic base, accelerating technology adoption, enhancing recurring revenue, and driving margin growth through platform scalability and supply chain efficiencies.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we entered into an asset purchase agreement with Columbia Power Technologies, Inc. (the “Seller”) pursuant to which we acquired from the Seller certain of its assets. In consideration for the purchase, we issued 366,162 shares of our common stock to the Seller. Pursuant to registration rights that we granted under such asset purchase agreement, we filed the registration statement of which this prospectus is a part to register the resale of the 366,162 shares of our common stock that we issued to the Seller, though a portion of such shares are subject to restrictions on trading for a period of time after the closing of the acquisition in accordance with the terms of the asset purchase agreement. As such, the Seller is the selling stockholder under this prospectus.</w:t>
      </w:r>
    </w:p>
    <w:p>
      <w:pPr>
        <w:pStyle w:val="TextBody"/>
        <w:bidi w:val="0"/>
        <w:spacing w:before="0" w:after="0"/>
        <w:ind w:left="0" w:right="0" w:firstLine="12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acquired intellectual property and engineering portfolio complements our existing capabilities in offshore power, autonomous surface vehicles, maritime sensing, communications and AI-enabled software while adding an innovative subsea power capability designed to enable persistent underwater operations. Together, these technologies create a potentially more comprehensive operational infrastructure platform capable of supporting missions across the maritime domain. The acquisition also potentially expands our ability to address evolving requirements for persistent underwater operations, including resident autonomous systems, subsea sensing, distributed communications, underwater vehicle support and long-duration maritime missions. The acquired capability positions us to enhance our portfolio of operational infrastructure technologies and provides a foundation for supporting future customer requirements in both defense and commercial maritime markets. In addition to expanding our technology portfolio, the acquisition includes developmental work and early customer engagement that can accelerate commercialization, reduce development risk and shorten our path to market for future subsea solutions.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28 Engelhard Drive, Monroe Township, New Jersey 08831. Our telephone number is (609) 730-0400. We were incorporated in New Jersey in 1984 and reincorporated in the State of Delaware in 2007. We maintain a website at www.oceanpowertechnologies.com where general information about us is available. We are not incorporating the contents of the website into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14, 2026, we effected a 1-for-30 reverse split of our outstanding shares of common stock. No fractional shares were issued in connection with the reverse stock split and all such fractional interests were rounded up to the nearest whole number of shares of common stock. All information presented in this prospectus has been retrospectively restated to give effect to our 1-for-30 reverse split of our outstanding shares of common stock, and unless otherwise indicated, all such amounts and corresponding conversion price and/or exercise price data set forth in this prospectus have been adjusted to give effect to such reverse stock split. </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 w:name="ns_003"/>
      <w:bookmarkEnd w:id="4"/>
      <w:r>
        <w:rPr>
          <w:rFonts w:ascii="Times New Roman;Times;Serif" w:hAnsi="Times New Roman;Times;Serif"/>
          <w:b/>
          <w:i w:val="false"/>
          <w:caps/>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discussed in this prospectus, our filings with the SEC and our public releases include “forward-looking statements” within the meaning of Section 27A of the Securities Act, and Section 21E of the Exchange Act. Forward-looking statements are subject to certain risks, trends and uncertainties that could cause actual results to differ materially from those projected. Among those risks, trends and uncertainties are:</w:t>
      </w:r>
    </w:p>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2"/>
        <w:gridCol w:w="187"/>
        <w:gridCol w:w="9926"/>
      </w:tblGrid>
      <w:tr>
        <w:trPr/>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improve, market and commercialize our products, and achieve and sustain profitability;</w:t>
            </w:r>
          </w:p>
        </w:tc>
      </w:tr>
      <w:tr>
        <w:trPr/>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improvement of our proprietary technologies, and expected continued use of cash from operating activities unless or until we achieve positive cash flow from the commercialization of our products and services;</w:t>
            </w:r>
          </w:p>
        </w:tc>
      </w:tr>
      <w:tr>
        <w:trPr/>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current legislation, regulations and economic conditions regarding Federal governmental tariffs;</w:t>
            </w:r>
          </w:p>
        </w:tc>
      </w:tr>
      <w:tr>
        <w:trPr/>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additional funding, as and if needed, which will be subject to several factors, including market conditions, our financial condition and our operating performance;</w:t>
            </w:r>
          </w:p>
        </w:tc>
      </w:tr>
      <w:tr>
        <w:trPr/>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the covenants and other obligations under our convertible notes;</w:t>
            </w:r>
          </w:p>
        </w:tc>
      </w:tr>
      <w:tr>
        <w:trPr/>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do business with properly qualified customers that have good credit ratings and pay their obligation on a timely basis;</w:t>
            </w:r>
          </w:p>
        </w:tc>
      </w:tr>
      <w:tr>
        <w:trPr/>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apply technology, data analytics and artificial intelligence effectively in driving value for our customers through technology-based solutions, or failure to gain internal efficiencies and effective internal controls through the application of technology and related tools;</w:t>
            </w:r>
          </w:p>
        </w:tc>
      </w:tr>
      <w:tr>
        <w:trPr/>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ability to continue as a going concern due to constrained liquidity in our business; </w:t>
            </w:r>
          </w:p>
        </w:tc>
      </w:tr>
      <w:tr>
        <w:trPr/>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history of operating losses, which we expect to continue for at least the short-term and possibly longer;</w:t>
            </w:r>
          </w:p>
        </w:tc>
      </w:tr>
      <w:tr>
        <w:trPr/>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challenges and expenses associated with communications and disputes with activist shareholders, including litigation;</w:t>
            </w:r>
          </w:p>
        </w:tc>
      </w:tr>
      <w:tr>
        <w:trPr/>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and mitigate risks associated with our internal cyber security protocols and protection of the data we collect and distribute;</w:t>
            </w:r>
          </w:p>
        </w:tc>
      </w:tr>
      <w:tr>
        <w:trPr/>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intellectual property portfolio;</w:t>
            </w:r>
          </w:p>
        </w:tc>
      </w:tr>
      <w:tr>
        <w:trPr/>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potential inflation related to the U.S. dollar on our business, operations, customers, suppliers, manufacturers, and personnel;</w:t>
            </w:r>
          </w:p>
        </w:tc>
      </w:tr>
      <w:tr>
        <w:trPr/>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meet product enhancement, manufacturing and customer delivery deadlines and the potential impact due to disruptions to our supply chain or our ability to identify vendors that can assist with the prefabrication elements of our products, as a result of, among other things, staff shortages, order delays, and increased pricing from vendors and manufacturers;</w:t>
            </w:r>
          </w:p>
        </w:tc>
      </w:tr>
      <w:tr>
        <w:trPr/>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forecasts and estimates regarding future expenses, revenue, gross margin, cash flow and capital requirements;</w:t>
            </w:r>
          </w:p>
        </w:tc>
      </w:tr>
      <w:tr>
        <w:trPr/>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and penetrate markets for our products, services, and solutions;</w:t>
            </w:r>
          </w:p>
        </w:tc>
      </w:tr>
      <w:tr>
        <w:trPr/>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respond to competition in our targeted markets;</w:t>
            </w:r>
          </w:p>
        </w:tc>
      </w:tr>
      <w:tr>
        <w:trPr/>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relationships with our existing and future strategic partners which may not be successful;</w:t>
            </w:r>
          </w:p>
        </w:tc>
      </w:tr>
      <w:tr>
        <w:trPr/>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the listing of our common stock on the NYSE American;</w:t>
            </w:r>
          </w:p>
        </w:tc>
      </w:tr>
      <w:tr>
        <w:trPr/>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reliability and continuous improvement of our technology, products and solutions;</w:t>
            </w:r>
          </w:p>
        </w:tc>
      </w:tr>
      <w:tr>
        <w:trPr/>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increase or more efficiently utilize the synergies available from our product lines:</w:t>
            </w:r>
          </w:p>
        </w:tc>
      </w:tr>
      <w:tr>
        <w:trPr/>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expand markets across geographic boundaries;</w:t>
            </w:r>
          </w:p>
        </w:tc>
      </w:tr>
      <w:tr>
        <w:trPr/>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be successful with Federal government work which is complex due to various statutes and regulations applicable to doing business with the Federal government;</w:t>
            </w:r>
          </w:p>
        </w:tc>
      </w:tr>
      <w:tr>
        <w:trPr/>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be successful doing business internationally which requires strict compliance with applicable statutes and regulations;</w:t>
            </w:r>
          </w:p>
        </w:tc>
      </w:tr>
      <w:tr>
        <w:trPr/>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geopolitical world uncertainty, including tariffs, Russia’s invasion of Ukraine, the Israel/Palestine conflict, the Iran War and previous attacks on merchant ships in the Red Sea;</w:t>
            </w:r>
          </w:p>
        </w:tc>
      </w:tr>
      <w:tr>
        <w:trPr/>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that new foreign country tariffs may have on our ability (i) to source and procure necessary raw materials for the manufacture and provision of our products and services; and (ii) to deliver our products to such foreign countries;</w:t>
            </w:r>
          </w:p>
        </w:tc>
      </w:tr>
      <w:tr>
        <w:trPr/>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hire and retain key personnel, including senior management, to achieve our business objectives;</w:t>
            </w:r>
          </w:p>
        </w:tc>
      </w:tr>
      <w:tr>
        <w:trPr/>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establish and maintain consistent commercial profit margins; and </w:t>
            </w:r>
          </w:p>
        </w:tc>
      </w:tr>
      <w:tr>
        <w:trPr/>
        <w:tc>
          <w:tcPr>
            <w:tcW w:w="92"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87"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recurring operating losses, negative cash flows, limited liquidity and unwaived event of default under our convertible notes raise substantial doubt about our ability to continue as a going concern.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identified by their use of terms and phrases such as “expect,” “estimate,” “project,” “plan,” “believe,” “achievable,” “anticipate” and similar terms and phrases. Although we believe that the expectations reflected in these forward-looking statements are reasonable, they do involve certain assumptions, risks and uncertainties. Our actual results could differ materially from those anticipated in these forward-looking statements as a result of certain factors, including but not limited to the risks and uncertainties discussed in the section entitled “Risk Factors” included elsewhere in this prospectus and in the documents that we include in or incorporate by reference into this prospectus, including our Annual Report on Form 10-K for the fiscal year ended April 30, 2026 and our subsequent SEC filings.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attributable to us or persons acting on our behalf are expressly qualified in their entirety by the cautionary statements in this section and elsewhere in this prospectus and in the documents incorporated by reference. Other than as required under the securities laws, we do not assume a duty to update these forward-looking statements, whether as a result of new information, subsequent events or circumstances, changes in expectations or otherwise.</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5" w:name="ns_004"/>
      <w:bookmarkEnd w:id="5"/>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forms a part of a registration statement on Form S-1 we filed with the SEC. This prospectus does not contain all of the information found in the registration statement. For further information regarding us and our securities, you may desire to review the full registration statement, including its exhibits and schedules, filed under the Securities Act, as well as our proxy statement, annual, quarterly and other reports and other information we file with the SEC. You may read and copy any document we file with the SEC at the SEC’s public reference room at 100 F Street, N.E., Washington, D.C. 20549. You may obtain information on the operation of the public reference room by calling the SEC at 1-800-SEC-0330. The SEC maintains a website on the Internet at </w:t>
      </w:r>
      <w:r>
        <w:rPr>
          <w:rFonts w:ascii="Times New Roman;Times;Serif" w:hAnsi="Times New Roman;Times;Serif"/>
          <w:b w:val="false"/>
          <w:i/>
          <w:caps w:val="false"/>
          <w:smallCaps w:val="false"/>
          <w:sz w:val="20"/>
        </w:rPr>
        <w:t xml:space="preserve">www.sec.gov </w:t>
      </w:r>
      <w:r>
        <w:rPr>
          <w:rFonts w:ascii="Times New Roman;Times;Serif" w:hAnsi="Times New Roman;Times;Serif"/>
          <w:b w:val="false"/>
          <w:i w:val="false"/>
          <w:caps w:val="false"/>
          <w:smallCaps w:val="false"/>
          <w:sz w:val="20"/>
        </w:rPr>
        <w:t xml:space="preserve">that contains reports, proxy and information statements, and other information regarding companies that file electronically with the SEC. We maintain a website on the Internet at </w:t>
      </w:r>
      <w:r>
        <w:rPr>
          <w:rFonts w:ascii="Times New Roman;Times;Serif" w:hAnsi="Times New Roman;Times;Serif"/>
          <w:b w:val="false"/>
          <w:i/>
          <w:caps w:val="false"/>
          <w:smallCaps w:val="false"/>
          <w:sz w:val="20"/>
        </w:rPr>
        <w:t>www.oceanpowertechnologies.com.</w:t>
      </w:r>
      <w:r>
        <w:rPr>
          <w:rFonts w:ascii="Times New Roman;Times;Serif" w:hAnsi="Times New Roman;Times;Serif"/>
          <w:b w:val="false"/>
          <w:i w:val="false"/>
          <w:caps w:val="false"/>
          <w:smallCaps w:val="false"/>
          <w:sz w:val="20"/>
        </w:rPr>
        <w:t xml:space="preserve"> Our registration statement, of which this prospectus constitutes a part, can be downloaded from the SEC’s website or from our website at </w:t>
      </w:r>
      <w:r>
        <w:rPr>
          <w:rFonts w:ascii="Times New Roman;Times;Serif" w:hAnsi="Times New Roman;Times;Serif"/>
          <w:b w:val="false"/>
          <w:i/>
          <w:caps w:val="false"/>
          <w:smallCaps w:val="false"/>
          <w:sz w:val="20"/>
        </w:rPr>
        <w:t>www.oceanpowertechnologies.com</w:t>
      </w:r>
      <w:r>
        <w:rPr>
          <w:rFonts w:ascii="Times New Roman;Times;Serif" w:hAnsi="Times New Roman;Times;Serif"/>
          <w:b w:val="false"/>
          <w:i w:val="false"/>
          <w:caps w:val="false"/>
          <w:smallCaps w:val="false"/>
          <w:sz w:val="20"/>
        </w:rPr>
        <w:t>. Information on the SEC website, our website or any other website is not incorporated by reference in this prospectus and does not constitute part of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 w:name="ns_005"/>
      <w:bookmarkEnd w:id="6"/>
      <w:r>
        <w:rPr>
          <w:rFonts w:ascii="Times New Roman;Times;Serif" w:hAnsi="Times New Roman;Times;Serif"/>
          <w:b/>
          <w:i w:val="false"/>
          <w:caps/>
          <w:sz w:val="20"/>
        </w:rPr>
        <w:t>INCORPORATION OF CERTAIN DOCUMENTS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which have previously been filed by us with the SEC under the Exchange Act, are incorporated herein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firstLine="360"/>
        <w:jc w:val="both"/>
        <w:rPr/>
      </w:pPr>
      <w:r>
        <w:rPr>
          <w:caps w:val="false"/>
          <w:smallCaps w:val="false"/>
        </w:rPr>
        <w:t xml:space="preserve">● </w:t>
      </w:r>
      <w:r>
        <w:rPr>
          <w:rFonts w:ascii="Times New Roman;Times;Serif" w:hAnsi="Times New Roman;Times;Serif"/>
          <w:b w:val="false"/>
          <w:i w:val="false"/>
          <w:caps w:val="false"/>
          <w:smallCaps w:val="false"/>
          <w:sz w:val="20"/>
        </w:rPr>
        <w:t xml:space="preserve">our Annual Report on </w:t>
      </w:r>
      <w:hyperlink r:id="rId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April 30, 2026, filed with the SEC on August 19, 2026 (File No. 001-33417);</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pPr>
      <w:r>
        <w:rPr>
          <w:caps w:val="false"/>
          <w:smallCaps w:val="false"/>
        </w:rPr>
        <w:t xml:space="preserve">● </w:t>
      </w:r>
      <w:r>
        <w:rPr>
          <w:rFonts w:ascii="Times New Roman;Times;Serif" w:hAnsi="Times New Roman;Times;Serif"/>
          <w:b w:val="false"/>
          <w:i w:val="false"/>
          <w:caps w:val="false"/>
          <w:smallCaps w:val="false"/>
          <w:sz w:val="20"/>
        </w:rPr>
        <w:t xml:space="preserve">our Quarterly Report on </w:t>
      </w:r>
      <w:hyperlink r:id="rId4">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for the fiscal year ended July 31, 2026, filed with the SEC on September 14, 2026 (File No. 001-33417); </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pPr>
      <w:r>
        <w:rPr>
          <w:caps w:val="false"/>
          <w:smallCaps w:val="false"/>
        </w:rPr>
        <w:t xml:space="preserve">● </w:t>
      </w:r>
      <w:r>
        <w:rPr>
          <w:rFonts w:ascii="Times New Roman;Times;Serif" w:hAnsi="Times New Roman;Times;Serif"/>
          <w:b w:val="false"/>
          <w:i w:val="false"/>
          <w:caps w:val="false"/>
          <w:smallCaps w:val="false"/>
          <w:sz w:val="20"/>
        </w:rPr>
        <w:t xml:space="preserve">our Current Reports on Form 8-K and Form 8-K/A, filed with the SEC on </w:t>
      </w:r>
      <w:hyperlink r:id="rId5">
        <w:r>
          <w:rPr>
            <w:rStyle w:val="InternetLink"/>
            <w:rFonts w:ascii="Times New Roman;Times;Serif" w:hAnsi="Times New Roman;Times;Serif"/>
            <w:b w:val="false"/>
            <w:i w:val="false"/>
            <w:caps w:val="false"/>
            <w:smallCaps w:val="false"/>
            <w:sz w:val="20"/>
          </w:rPr>
          <w:t>July 25, 2025</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August 5, 2025</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August 8, 2025</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August 19, 2025</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August 27 2025</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September 3, 2025</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September 16, 2025</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October 7, 2025</w:t>
        </w:r>
      </w:hyperlink>
      <w:r>
        <w:rPr>
          <w:rFonts w:ascii="Times New Roman;Times;Serif" w:hAnsi="Times New Roman;Times;Serif"/>
          <w:b w:val="false"/>
          <w:i w:val="false"/>
          <w:caps w:val="false"/>
          <w:smallCaps w:val="false"/>
          <w:sz w:val="20"/>
        </w:rPr>
        <w:t xml:space="preserve">, </w:t>
      </w:r>
      <w:hyperlink r:id="rId13">
        <w:r>
          <w:rPr>
            <w:rStyle w:val="InternetLink"/>
            <w:rFonts w:ascii="Times New Roman;Times;Serif" w:hAnsi="Times New Roman;Times;Serif"/>
            <w:b w:val="false"/>
            <w:i w:val="false"/>
            <w:caps w:val="false"/>
            <w:smallCaps w:val="false"/>
            <w:sz w:val="20"/>
          </w:rPr>
          <w:t>November 6, 2025</w:t>
        </w:r>
      </w:hyperlink>
      <w:r>
        <w:rPr>
          <w:rFonts w:ascii="Times New Roman;Times;Serif" w:hAnsi="Times New Roman;Times;Serif"/>
          <w:b w:val="false"/>
          <w:i w:val="false"/>
          <w:caps w:val="false"/>
          <w:smallCaps w:val="false"/>
          <w:sz w:val="20"/>
        </w:rPr>
        <w:t xml:space="preserve">, </w:t>
      </w:r>
      <w:hyperlink r:id="rId14">
        <w:r>
          <w:rPr>
            <w:rStyle w:val="InternetLink"/>
            <w:rFonts w:ascii="Times New Roman;Times;Serif" w:hAnsi="Times New Roman;Times;Serif"/>
            <w:b w:val="false"/>
            <w:i w:val="false"/>
            <w:caps w:val="false"/>
            <w:smallCaps w:val="false"/>
            <w:sz w:val="20"/>
          </w:rPr>
          <w:t>November 12, 2025</w:t>
        </w:r>
      </w:hyperlink>
      <w:r>
        <w:rPr>
          <w:rFonts w:ascii="Times New Roman;Times;Serif" w:hAnsi="Times New Roman;Times;Serif"/>
          <w:b w:val="false"/>
          <w:i w:val="false"/>
          <w:caps w:val="false"/>
          <w:smallCaps w:val="false"/>
          <w:sz w:val="20"/>
        </w:rPr>
        <w:t xml:space="preserve">, </w:t>
      </w:r>
      <w:hyperlink r:id="rId15">
        <w:r>
          <w:rPr>
            <w:rStyle w:val="InternetLink"/>
            <w:rFonts w:ascii="Times New Roman;Times;Serif" w:hAnsi="Times New Roman;Times;Serif"/>
            <w:b w:val="false"/>
            <w:i w:val="false"/>
            <w:caps w:val="false"/>
            <w:smallCaps w:val="false"/>
            <w:sz w:val="20"/>
          </w:rPr>
          <w:t>December 16, 2025</w:t>
        </w:r>
      </w:hyperlink>
      <w:r>
        <w:rPr>
          <w:rFonts w:ascii="Times New Roman;Times;Serif" w:hAnsi="Times New Roman;Times;Serif"/>
          <w:b w:val="false"/>
          <w:i w:val="false"/>
          <w:caps w:val="false"/>
          <w:smallCaps w:val="false"/>
          <w:sz w:val="20"/>
        </w:rPr>
        <w:t xml:space="preserve">, </w:t>
      </w:r>
      <w:hyperlink r:id="rId16">
        <w:r>
          <w:rPr>
            <w:rStyle w:val="InternetLink"/>
            <w:rFonts w:ascii="Times New Roman;Times;Serif" w:hAnsi="Times New Roman;Times;Serif"/>
            <w:b w:val="false"/>
            <w:i w:val="false"/>
            <w:caps w:val="false"/>
            <w:smallCaps w:val="false"/>
            <w:sz w:val="20"/>
          </w:rPr>
          <w:t>January 6, 2026</w:t>
        </w:r>
      </w:hyperlink>
      <w:r>
        <w:rPr>
          <w:rFonts w:ascii="Times New Roman;Times;Serif" w:hAnsi="Times New Roman;Times;Serif"/>
          <w:b w:val="false"/>
          <w:i w:val="false"/>
          <w:caps w:val="false"/>
          <w:smallCaps w:val="false"/>
          <w:sz w:val="20"/>
        </w:rPr>
        <w:t xml:space="preserve">, </w:t>
      </w:r>
      <w:hyperlink r:id="rId17">
        <w:r>
          <w:rPr>
            <w:rStyle w:val="InternetLink"/>
            <w:rFonts w:ascii="Times New Roman;Times;Serif" w:hAnsi="Times New Roman;Times;Serif"/>
            <w:b w:val="false"/>
            <w:i w:val="false"/>
            <w:caps w:val="false"/>
            <w:smallCaps w:val="false"/>
            <w:sz w:val="20"/>
          </w:rPr>
          <w:t>January 9, 2026</w:t>
        </w:r>
      </w:hyperlink>
      <w:r>
        <w:rPr>
          <w:rFonts w:ascii="Times New Roman;Times;Serif" w:hAnsi="Times New Roman;Times;Serif"/>
          <w:b w:val="false"/>
          <w:i w:val="false"/>
          <w:caps w:val="false"/>
          <w:smallCaps w:val="false"/>
          <w:sz w:val="20"/>
        </w:rPr>
        <w:t xml:space="preserve">, </w:t>
      </w:r>
      <w:hyperlink r:id="rId18">
        <w:r>
          <w:rPr>
            <w:rStyle w:val="InternetLink"/>
            <w:rFonts w:ascii="Times New Roman;Times;Serif" w:hAnsi="Times New Roman;Times;Serif"/>
            <w:b w:val="false"/>
            <w:i w:val="false"/>
            <w:caps w:val="false"/>
            <w:smallCaps w:val="false"/>
            <w:sz w:val="20"/>
          </w:rPr>
          <w:t>January 28, 2026</w:t>
        </w:r>
      </w:hyperlink>
      <w:r>
        <w:rPr>
          <w:rFonts w:ascii="Times New Roman;Times;Serif" w:hAnsi="Times New Roman;Times;Serif"/>
          <w:b w:val="false"/>
          <w:i w:val="false"/>
          <w:caps w:val="false"/>
          <w:smallCaps w:val="false"/>
          <w:sz w:val="20"/>
        </w:rPr>
        <w:t xml:space="preserve">, </w:t>
      </w:r>
      <w:hyperlink r:id="rId19">
        <w:r>
          <w:rPr>
            <w:rStyle w:val="InternetLink"/>
            <w:rFonts w:ascii="Times New Roman;Times;Serif" w:hAnsi="Times New Roman;Times;Serif"/>
            <w:b w:val="false"/>
            <w:i w:val="false"/>
            <w:caps w:val="false"/>
            <w:smallCaps w:val="false"/>
            <w:sz w:val="20"/>
          </w:rPr>
          <w:t>February 24, 2026</w:t>
        </w:r>
      </w:hyperlink>
      <w:r>
        <w:rPr>
          <w:rFonts w:ascii="Times New Roman;Times;Serif" w:hAnsi="Times New Roman;Times;Serif"/>
          <w:b w:val="false"/>
          <w:i w:val="false"/>
          <w:caps w:val="false"/>
          <w:smallCaps w:val="false"/>
          <w:sz w:val="20"/>
        </w:rPr>
        <w:t xml:space="preserve">, </w:t>
      </w:r>
      <w:hyperlink r:id="rId20">
        <w:r>
          <w:rPr>
            <w:rStyle w:val="InternetLink"/>
            <w:rFonts w:ascii="Times New Roman;Times;Serif" w:hAnsi="Times New Roman;Times;Serif"/>
            <w:b w:val="false"/>
            <w:i w:val="false"/>
            <w:caps w:val="false"/>
            <w:smallCaps w:val="false"/>
            <w:sz w:val="20"/>
          </w:rPr>
          <w:t>March 2, 2026</w:t>
        </w:r>
      </w:hyperlink>
      <w:r>
        <w:rPr>
          <w:rFonts w:ascii="Times New Roman;Times;Serif" w:hAnsi="Times New Roman;Times;Serif"/>
          <w:b w:val="false"/>
          <w:i w:val="false"/>
          <w:caps w:val="false"/>
          <w:smallCaps w:val="false"/>
          <w:sz w:val="20"/>
        </w:rPr>
        <w:t xml:space="preserve">, </w:t>
      </w:r>
      <w:hyperlink r:id="rId21">
        <w:r>
          <w:rPr>
            <w:rStyle w:val="InternetLink"/>
            <w:rFonts w:ascii="Times New Roman;Times;Serif" w:hAnsi="Times New Roman;Times;Serif"/>
            <w:b w:val="false"/>
            <w:i w:val="false"/>
            <w:caps w:val="false"/>
            <w:smallCaps w:val="false"/>
            <w:sz w:val="20"/>
          </w:rPr>
          <w:t>March 13, 2026</w:t>
        </w:r>
      </w:hyperlink>
      <w:r>
        <w:rPr>
          <w:rFonts w:ascii="Times New Roman;Times;Serif" w:hAnsi="Times New Roman;Times;Serif"/>
          <w:b w:val="false"/>
          <w:i w:val="false"/>
          <w:caps w:val="false"/>
          <w:smallCaps w:val="false"/>
          <w:sz w:val="20"/>
        </w:rPr>
        <w:t xml:space="preserve">, </w:t>
      </w:r>
      <w:hyperlink r:id="rId22">
        <w:r>
          <w:rPr>
            <w:rStyle w:val="InternetLink"/>
            <w:rFonts w:ascii="Times New Roman;Times;Serif" w:hAnsi="Times New Roman;Times;Serif"/>
            <w:b w:val="false"/>
            <w:i w:val="false"/>
            <w:caps w:val="false"/>
            <w:smallCaps w:val="false"/>
            <w:sz w:val="20"/>
          </w:rPr>
          <w:t>March 26, 2026</w:t>
        </w:r>
      </w:hyperlink>
      <w:r>
        <w:rPr>
          <w:rFonts w:ascii="Times New Roman;Times;Serif" w:hAnsi="Times New Roman;Times;Serif"/>
          <w:b w:val="false"/>
          <w:i w:val="false"/>
          <w:caps w:val="false"/>
          <w:smallCaps w:val="false"/>
          <w:sz w:val="20"/>
        </w:rPr>
        <w:t xml:space="preserve">, </w:t>
      </w:r>
      <w:hyperlink r:id="rId23">
        <w:r>
          <w:rPr>
            <w:rStyle w:val="InternetLink"/>
            <w:rFonts w:ascii="Times New Roman;Times;Serif" w:hAnsi="Times New Roman;Times;Serif"/>
            <w:b w:val="false"/>
            <w:i w:val="false"/>
            <w:caps w:val="false"/>
            <w:smallCaps w:val="false"/>
            <w:sz w:val="20"/>
          </w:rPr>
          <w:t>April 1, 2026</w:t>
        </w:r>
      </w:hyperlink>
      <w:r>
        <w:rPr>
          <w:rFonts w:ascii="Times New Roman;Times;Serif" w:hAnsi="Times New Roman;Times;Serif"/>
          <w:b w:val="false"/>
          <w:i w:val="false"/>
          <w:caps w:val="false"/>
          <w:smallCaps w:val="false"/>
          <w:sz w:val="20"/>
        </w:rPr>
        <w:t xml:space="preserve">, </w:t>
      </w:r>
      <w:hyperlink r:id="rId24">
        <w:r>
          <w:rPr>
            <w:rStyle w:val="InternetLink"/>
            <w:rFonts w:ascii="Times New Roman;Times;Serif" w:hAnsi="Times New Roman;Times;Serif"/>
            <w:b w:val="false"/>
            <w:i w:val="false"/>
            <w:caps w:val="false"/>
            <w:smallCaps w:val="false"/>
            <w:sz w:val="20"/>
          </w:rPr>
          <w:t>May 12, 2026</w:t>
        </w:r>
      </w:hyperlink>
      <w:r>
        <w:rPr>
          <w:rFonts w:ascii="Times New Roman;Times;Serif" w:hAnsi="Times New Roman;Times;Serif"/>
          <w:b w:val="false"/>
          <w:i w:val="false"/>
          <w:caps w:val="false"/>
          <w:smallCaps w:val="false"/>
          <w:sz w:val="20"/>
        </w:rPr>
        <w:t xml:space="preserve">, </w:t>
      </w:r>
      <w:hyperlink r:id="rId25">
        <w:r>
          <w:rPr>
            <w:rStyle w:val="InternetLink"/>
            <w:rFonts w:ascii="Times New Roman;Times;Serif" w:hAnsi="Times New Roman;Times;Serif"/>
            <w:b w:val="false"/>
            <w:i w:val="false"/>
            <w:caps w:val="false"/>
            <w:smallCaps w:val="false"/>
            <w:sz w:val="20"/>
          </w:rPr>
          <w:t>May 21, 2026</w:t>
        </w:r>
      </w:hyperlink>
      <w:r>
        <w:rPr>
          <w:rFonts w:ascii="Times New Roman;Times;Serif" w:hAnsi="Times New Roman;Times;Serif"/>
          <w:b w:val="false"/>
          <w:i w:val="false"/>
          <w:caps w:val="false"/>
          <w:smallCaps w:val="false"/>
          <w:sz w:val="20"/>
        </w:rPr>
        <w:t xml:space="preserve">, </w:t>
      </w:r>
      <w:hyperlink r:id="rId26">
        <w:r>
          <w:rPr>
            <w:rStyle w:val="InternetLink"/>
            <w:rFonts w:ascii="Times New Roman;Times;Serif" w:hAnsi="Times New Roman;Times;Serif"/>
            <w:b w:val="false"/>
            <w:i w:val="false"/>
            <w:caps w:val="false"/>
            <w:smallCaps w:val="false"/>
            <w:sz w:val="20"/>
          </w:rPr>
          <w:t>June 8, 2026</w:t>
        </w:r>
      </w:hyperlink>
      <w:r>
        <w:rPr>
          <w:rFonts w:ascii="Times New Roman;Times;Serif" w:hAnsi="Times New Roman;Times;Serif"/>
          <w:b w:val="false"/>
          <w:i w:val="false"/>
          <w:caps w:val="false"/>
          <w:smallCaps w:val="false"/>
          <w:sz w:val="20"/>
        </w:rPr>
        <w:t xml:space="preserve">, </w:t>
      </w:r>
      <w:hyperlink r:id="rId27">
        <w:r>
          <w:rPr>
            <w:rStyle w:val="InternetLink"/>
            <w:rFonts w:ascii="Times New Roman;Times;Serif" w:hAnsi="Times New Roman;Times;Serif"/>
            <w:b w:val="false"/>
            <w:i w:val="false"/>
            <w:caps w:val="false"/>
            <w:smallCaps w:val="false"/>
            <w:sz w:val="20"/>
          </w:rPr>
          <w:t>June 9, 2026</w:t>
        </w:r>
      </w:hyperlink>
      <w:r>
        <w:rPr>
          <w:rFonts w:ascii="Times New Roman;Times;Serif" w:hAnsi="Times New Roman;Times;Serif"/>
          <w:b w:val="false"/>
          <w:i w:val="false"/>
          <w:caps w:val="false"/>
          <w:smallCaps w:val="false"/>
          <w:sz w:val="20"/>
        </w:rPr>
        <w:t xml:space="preserve">, </w:t>
      </w:r>
      <w:hyperlink r:id="rId28">
        <w:r>
          <w:rPr>
            <w:rStyle w:val="InternetLink"/>
            <w:rFonts w:ascii="Times New Roman;Times;Serif" w:hAnsi="Times New Roman;Times;Serif"/>
            <w:b w:val="false"/>
            <w:i w:val="false"/>
            <w:caps w:val="false"/>
            <w:smallCaps w:val="false"/>
            <w:sz w:val="20"/>
          </w:rPr>
          <w:t>June 29, 2026</w:t>
        </w:r>
      </w:hyperlink>
      <w:r>
        <w:rPr>
          <w:rFonts w:ascii="Times New Roman;Times;Serif" w:hAnsi="Times New Roman;Times;Serif"/>
          <w:b w:val="false"/>
          <w:i w:val="false"/>
          <w:caps w:val="false"/>
          <w:smallCaps w:val="false"/>
          <w:sz w:val="20"/>
        </w:rPr>
        <w:t xml:space="preserve">, </w:t>
      </w:r>
      <w:hyperlink r:id="rId29">
        <w:r>
          <w:rPr>
            <w:rStyle w:val="InternetLink"/>
            <w:rFonts w:ascii="Times New Roman;Times;Serif" w:hAnsi="Times New Roman;Times;Serif"/>
            <w:b w:val="false"/>
            <w:i w:val="false"/>
            <w:caps w:val="false"/>
            <w:smallCaps w:val="false"/>
            <w:sz w:val="20"/>
          </w:rPr>
          <w:t>July 23, 2026</w:t>
        </w:r>
      </w:hyperlink>
      <w:r>
        <w:rPr>
          <w:rFonts w:ascii="Times New Roman;Times;Serif" w:hAnsi="Times New Roman;Times;Serif"/>
          <w:b w:val="false"/>
          <w:i w:val="false"/>
          <w:caps w:val="false"/>
          <w:smallCaps w:val="false"/>
          <w:sz w:val="20"/>
        </w:rPr>
        <w:t xml:space="preserve">, </w:t>
      </w:r>
      <w:hyperlink r:id="rId30">
        <w:r>
          <w:rPr>
            <w:rStyle w:val="InternetLink"/>
            <w:rFonts w:ascii="Times New Roman;Times;Serif" w:hAnsi="Times New Roman;Times;Serif"/>
            <w:b w:val="false"/>
            <w:i w:val="false"/>
            <w:caps w:val="false"/>
            <w:smallCaps w:val="false"/>
            <w:sz w:val="20"/>
          </w:rPr>
          <w:t>July 27, 2026</w:t>
        </w:r>
      </w:hyperlink>
      <w:r>
        <w:rPr>
          <w:rFonts w:ascii="Times New Roman;Times;Serif" w:hAnsi="Times New Roman;Times;Serif"/>
          <w:b w:val="false"/>
          <w:i w:val="false"/>
          <w:caps w:val="false"/>
          <w:smallCaps w:val="false"/>
          <w:sz w:val="20"/>
        </w:rPr>
        <w:t xml:space="preserve">, </w:t>
      </w:r>
      <w:hyperlink r:id="rId31">
        <w:r>
          <w:rPr>
            <w:rStyle w:val="InternetLink"/>
            <w:rFonts w:ascii="Times New Roman;Times;Serif" w:hAnsi="Times New Roman;Times;Serif"/>
            <w:b w:val="false"/>
            <w:i w:val="false"/>
            <w:caps w:val="false"/>
            <w:smallCaps w:val="false"/>
            <w:sz w:val="20"/>
          </w:rPr>
          <w:t>August 5, 2026</w:t>
        </w:r>
      </w:hyperlink>
      <w:r>
        <w:rPr>
          <w:rFonts w:ascii="Times New Roman;Times;Serif" w:hAnsi="Times New Roman;Times;Serif"/>
          <w:b w:val="false"/>
          <w:i w:val="false"/>
          <w:caps w:val="false"/>
          <w:smallCaps w:val="false"/>
          <w:sz w:val="20"/>
        </w:rPr>
        <w:t xml:space="preserve">, </w:t>
      </w:r>
      <w:hyperlink r:id="rId32">
        <w:r>
          <w:rPr>
            <w:rStyle w:val="InternetLink"/>
            <w:rFonts w:ascii="Times New Roman;Times;Serif" w:hAnsi="Times New Roman;Times;Serif"/>
            <w:b w:val="false"/>
            <w:i w:val="false"/>
            <w:caps w:val="false"/>
            <w:smallCaps w:val="false"/>
            <w:sz w:val="20"/>
          </w:rPr>
          <w:t>August 17, 2026</w:t>
        </w:r>
      </w:hyperlink>
      <w:r>
        <w:rPr>
          <w:rFonts w:ascii="Times New Roman;Times;Serif" w:hAnsi="Times New Roman;Times;Serif"/>
          <w:b w:val="false"/>
          <w:i w:val="false"/>
          <w:caps w:val="false"/>
          <w:smallCaps w:val="false"/>
          <w:sz w:val="20"/>
        </w:rPr>
        <w:t xml:space="preserve">, </w:t>
      </w:r>
      <w:hyperlink r:id="rId33">
        <w:r>
          <w:rPr>
            <w:rStyle w:val="InternetLink"/>
            <w:rFonts w:ascii="Times New Roman;Times;Serif" w:hAnsi="Times New Roman;Times;Serif"/>
            <w:b w:val="false"/>
            <w:i w:val="false"/>
            <w:caps w:val="false"/>
            <w:smallCaps w:val="false"/>
            <w:sz w:val="20"/>
          </w:rPr>
          <w:t xml:space="preserve">August 20, 2026, </w:t>
        </w:r>
      </w:hyperlink>
      <w:hyperlink r:id="rId34">
        <w:r>
          <w:rPr>
            <w:rStyle w:val="InternetLink"/>
            <w:rFonts w:ascii="Times New Roman;Times;Serif" w:hAnsi="Times New Roman;Times;Serif"/>
            <w:b w:val="false"/>
            <w:i w:val="false"/>
            <w:caps w:val="false"/>
            <w:smallCaps w:val="false"/>
            <w:sz w:val="20"/>
          </w:rPr>
          <w:t>August 24, 2026</w:t>
        </w:r>
      </w:hyperlink>
      <w:r>
        <w:rPr>
          <w:rFonts w:ascii="Times New Roman;Times;Serif" w:hAnsi="Times New Roman;Times;Serif"/>
          <w:b w:val="false"/>
          <w:i w:val="false"/>
          <w:caps w:val="false"/>
          <w:smallCaps w:val="false"/>
          <w:sz w:val="20"/>
        </w:rPr>
        <w:t xml:space="preserve">, </w:t>
      </w:r>
      <w:hyperlink r:id="rId35">
        <w:r>
          <w:rPr>
            <w:rStyle w:val="InternetLink"/>
            <w:rFonts w:ascii="Times New Roman;Times;Serif" w:hAnsi="Times New Roman;Times;Serif"/>
            <w:b w:val="false"/>
            <w:i w:val="false"/>
            <w:caps w:val="false"/>
            <w:smallCaps w:val="false"/>
            <w:sz w:val="20"/>
          </w:rPr>
          <w:t>September 11, 2026</w:t>
        </w:r>
      </w:hyperlink>
      <w:r>
        <w:rPr>
          <w:rFonts w:ascii="Times New Roman;Times;Serif" w:hAnsi="Times New Roman;Times;Serif"/>
          <w:b w:val="false"/>
          <w:i w:val="false"/>
          <w:caps w:val="false"/>
          <w:smallCaps w:val="false"/>
          <w:sz w:val="20"/>
        </w:rPr>
        <w:t xml:space="preserve">, and </w:t>
      </w:r>
      <w:hyperlink r:id="rId36">
        <w:r>
          <w:rPr>
            <w:rStyle w:val="InternetLink"/>
            <w:rFonts w:ascii="Times New Roman;Times;Serif" w:hAnsi="Times New Roman;Times;Serif"/>
            <w:b w:val="false"/>
            <w:i w:val="false"/>
            <w:caps w:val="false"/>
            <w:smallCaps w:val="false"/>
            <w:sz w:val="20"/>
          </w:rPr>
          <w:t>September 17, 2026</w:t>
        </w:r>
      </w:hyperlink>
      <w:r>
        <w:rPr>
          <w:rFonts w:ascii="Times New Roman;Times;Serif" w:hAnsi="Times New Roman;Times;Serif"/>
          <w:b w:val="false"/>
          <w:i w:val="false"/>
          <w:caps w:val="false"/>
          <w:smallCaps w:val="false"/>
          <w:sz w:val="20"/>
        </w:rPr>
        <w:t xml:space="preserve"> (File No. 001-33417) (excluding any information furnished pursuant to Item 2.02 or Item 7.01 of any such Current Report on Form 8-K); 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firstLine="360"/>
        <w:jc w:val="both"/>
        <w:rPr/>
      </w:pPr>
      <w:r>
        <w:rPr>
          <w:caps w:val="false"/>
          <w:smallCaps w:val="false"/>
        </w:rPr>
        <w:t xml:space="preserve">● </w:t>
      </w:r>
      <w:r>
        <w:rPr>
          <w:rFonts w:ascii="Times New Roman;Times;Serif" w:hAnsi="Times New Roman;Times;Serif"/>
          <w:b w:val="false"/>
          <w:i w:val="false"/>
          <w:caps w:val="false"/>
          <w:smallCaps w:val="false"/>
          <w:sz w:val="20"/>
        </w:rPr>
        <w:t xml:space="preserve">the description of our common stock set forth in our registration statement on </w:t>
      </w:r>
      <w:hyperlink r:id="rId37">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filed on April 18, 2007 (File No. 001-33417) and in any and all subsequent amendments and reports filed for the purpose of updating that description.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filed by us pursuant to Sections 13(a), 13(c), 14 or 15(d) of the Exchange Act (excluding any information furnished pursuant to Item 2.02 or Item 7.01 on any current report on Form 8-K and any corresponding information furnished under Item 9.01 or included as an exhibit) after the date of the initial registration statement of which this prospectus forms a part and until the termination of the offering under this prospectus shall be deemed to be incorporated in this prospectus by reference and to be a part hereof from the date of filing of such documents. Any statement contained herein, or in a document incorporated or deemed to be incorporated by reference herein, shall be deemed to be modified or superseded for purposes of this prospectus to the extent that a statement contained herein or in any subsequently filed document which also is or is deemed to be incorporated by reference herein, modifies or supersedes such statement. Any such statement so modified or superseded shall not be deemed, except as so modified or superseded, to constitute a part of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a free copy of these filings, other than any exhibits, unless the exhibits are specifically incorporated by reference into this prospectus, by writing or telephoning us at the following address: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 Power Technologies,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Engelhard Drive, Suite B</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Monroe Township, New Jersey 08831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Financial Officer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 730-0400</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ns_006"/>
      <w:bookmarkEnd w:id="7"/>
      <w:r>
        <w:rPr>
          <w:rFonts w:ascii="Times New Roman;Times;Serif" w:hAnsi="Times New Roman;Times;Serif"/>
          <w:b/>
          <w:i w:val="false"/>
          <w:caps/>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securities involves a high degree of risk. You should carefully consider the risk factors and all of the other information included in, or incorporated by reference into, this prospectus, including those risk factors included in our Annual Report on Form 10-K for the year ended April 30, 2026 and our subsequent Commission filings, in evaluating an investment in our securities. If any of these risks were to occur, our business, financial condition or results of operations could be adversely affected. In that case, the trading price of our securities could decline and you could lose all or part of your investment.</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ns_007"/>
      <w:bookmarkEnd w:id="8"/>
      <w:r>
        <w:rPr>
          <w:rFonts w:ascii="Times New Roman;Times;Serif" w:hAnsi="Times New Roman;Times;Serif"/>
          <w:b/>
          <w:i w:val="false"/>
          <w:caps/>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our shares of common stock by the selling stockholders. The selling stockholders named in this prospectus will pay any underwriting fees, discounts and commissions, along with certain of the selling stockholders’ out-of-pocket expenses, incurred in connection with their sale of shares registered under this prospectus. We will bear all other costs, fees and expenses incurred by us, or by the selling stockholders, in effecting the registration, offer and sale of the shares covered by this prospectus.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ns_008"/>
      <w:bookmarkEnd w:id="9"/>
      <w:r>
        <w:rPr>
          <w:rFonts w:ascii="Times New Roman;Times;Serif" w:hAnsi="Times New Roman;Times;Serif"/>
          <w:b/>
          <w:i w:val="false"/>
          <w:caps/>
          <w:sz w:val="20"/>
        </w:rPr>
        <w:t>DESCRIPTION OF CAPITAL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discussion that follows, we have summarized selected provisions of our certificate of incorporation and bylaws. You should read our certificate of incorporation and bylaws as currently in effect for more details regarding the provisions we describe below and for other provisions that may be important to you. We have filed copies of those documents with the SEC, and they are incorporated by reference herein. Please read “Where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and Outstanding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common stock and provisions of our certificate of incorporation and bylaws are summaries and are qualified by reference to our certificate of incorporation and bylaws, which have been incorporated by reference as exhibits to the registration statement of which this prospectus forms a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400,000,000 shares of common stock, par value $0.001 per share, and 5,000,000 shares of preferred stock, par value $0.001 per share, 700,000 of which are designated as Series A Participating Preferred Stock which may be issued upon the exercise of the preferred stock purchase rights described below under “Section 382 Tax Benefits Preservation Plan”. As discussed below, we issued on July 11, 2023 preferred stock purchase rights which are attached to our common stock in connection with our adoption of an Amended and Restated Section 382 Tax Benefits Preservation Plan as described under Section 382 Tax Benefits Preservation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22, 2026, there were 9,094,159 shares of common stock outstanding, and no shares of preferred stock were issued or outstanding. As of September 22, 2026, there also were outstanding (i) options representing the right to purchase a total of 12,958 shares of common stock at a weighted average exercise price of approximately $52.80 per share, (ii) unvested restricted and performance stock units representing the right to acquire a total of 719,060 shares of common stock, and (iii) 833,334 shares of common stock issuable upon exercise of certain outstanding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w:t>
      </w:r>
      <w:r>
        <w:rPr>
          <w:rFonts w:ascii="Times New Roman;Times;Serif" w:hAnsi="Times New Roman;Times;Serif"/>
          <w:b w:val="false"/>
          <w:i w:val="false"/>
          <w:caps w:val="false"/>
          <w:smallCaps w:val="false"/>
          <w:sz w:val="20"/>
        </w:rPr>
        <w:t>. Holders of common stock are entitled to one vote for each share held on all matters submitted to a vote of stockholders and do not have cumulative voting rights. Accordingly, holders of a majority of the shares of common stock entitled to vote in any election of directors may elect all of the directors standing for election.</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Holders of common stock are entitled to receive proportionately any dividends that may be declared by our Board, subject to any preferential dividend rights of outstanding preferred stock.</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 and Distribution</w:t>
      </w:r>
      <w:r>
        <w:rPr>
          <w:rFonts w:ascii="Times New Roman;Times;Serif" w:hAnsi="Times New Roman;Times;Serif"/>
          <w:b w:val="false"/>
          <w:i w:val="false"/>
          <w:caps w:val="false"/>
          <w:smallCaps w:val="false"/>
          <w:sz w:val="20"/>
        </w:rPr>
        <w:t>. Upon our liquidation, dissolution or winding up, the holders of common stock are entitled to receive proportionately our net assets available after the payment of all debts and other liabilities and subject to the prior rights of any outstanding preferred stock. Holders of common stock have no preemptive, subscription, redemption or conversion rights. Our outstanding shares of common stock are, and the shares offered by us in this offering will be, when issued and paid for, fully paid and nonassessable. The rights, preferences and privileges of holders of common stock are subject to, and may be adversely affected by, the rights of the holders of shares of any series of preferred stock that we may designate and issue in the future.</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Anti-Takeover Effects of Delaware Law, Our Certificate of Incorporation and Our Bylaws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our certificate of incorporation and our bylaws contain provisions that could have the effect of delaying, deferring or discouraging another party from acquiring control of us. These provisions, which are summarized below, are intended to discourage coercive takeover practices and inadequate takeover bids. These provisions are also designed to encourage persons seeking to acquire control of us to first negotiate with our Board.</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Removal of Directors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currently provides that directors may be removed only for cause and only by the affirmative vote of the holders of 75% of our shares of capital stock present in person or by proxy and entitled to vote. However, our Board of Directors approved an amendment to our bylaws that became effective on June 17, 2016, which permits our directors to be removed either for cause or without cause by our stockholders. At our annual meeting of stockholders for the year ended April 30, 2016 that was held on October 21, 2016 (the “2016 Annual Meeting”), we submitted a proposal to stockholders seeking stockholder approval to amend our certificate of incorporation to delete the reference to “for cause” in Section 6 of Article IX of the certificate of incorporation. This proposal to amend the certificate of incorporation did not receive the required affirmative vote of the holders of at least 75% of the outstanding shares of common stock entitled to vote at the meeting, so the proposal did not pass. However, we also submitted a proposal to stockholders at the 2016 Annual Meeting seeking approval to amend our certificate of incorporation to add a clause that specified that, to the fullest extent permitted by law, any provision in the Certificate of Incorporation that is contrary to a requirement of the Delaware General Corporate Law (the “DGCL”) shall be read in conformity with the applicable requirement of the DGCL. This second proposal only required the affirmative vote of the holders of a majority of the outstanding shares of common stock entitled to vote at the 2016 Annual Meeting, and it passed.</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takes the position that under current Delaware law, the “only for cause” provision in the certificate of incorporation regarding removal of the company’s directors is not enforceable and is therefore not in conformity with the applicable requirement of the DGCL. Accordingly, we will comply with the provisions of our bylaws, as amended and as described above, relating to director removal and will not seek to enforce that provision of our certificate of incorporation relating to stockholder removal of directors only for cause, as presently in effect. Under our certificate of incorporation and bylaws, any vacancy on the Board, including a vacancy resulting from an enlargement of the Board, may be filled only by vote of a majority of our directors then in office.</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limitations on the ability of our stockholders to remove directors and fill vacancies could make it more difficult for a third party to acquire, or discourage a third party from seeking to acquire, control of us.</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Stockholder Action by Written Consent; Special Meetings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any action required or permitted to be taken by our stockholders must be effected at a duly called annual or special meeting of such holders and may not be effected by any consent in writing by such holders. Our certificate of incorporation and our bylaws also provide that, except as otherwise required by law, special meetings of our stockholders can only be called by our chairman of the board, our chief executive officer, our president or the Board.</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Advance Notice Requirements for Stockholder Proposals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establish an advance notice procedure for stockholder proposals to be brought before an annual meeting of stockholders, including proposed nominations of persons for election to the Board. Stockholders at an annual meeting may only consider proposals or nominations specified in the notice of meeting or brought before the meeting by or at the direction of the Board of Directors or by a stockholder of record on the record date for the meeting, that is entitled to vote at the meeting and that has delivered to our secretary a timely written notice in proper form of the stockholder’s intention to bring such business before the meeting, as well as having met certain other requirements specified in the bylaws. These provisions could have the effect of delaying until the next stockholder meeting stockholder actions that are favored by the holders of a majority of our outstanding voting securities.</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Delaware Business Combination Statute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Section 382 Tax Benefits Preservation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approved the adoption of a tax benefits preservation plan in the form of an Amended and Restated Section 382 Rights Agreement designed to protect and preserve our tax assets primarily associated with net operating loss carryforwards (“NOLs”) that could potentially be utilized in certain circumstances to offset our future taxable income and reduce its federal income tax liability. The tax benefits preservation plan was amended and restated on June 29, 2026 to among other things extend the life of the plan through June 29, 2029.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382 of the Internal Revenue Code imposes limitations on the future use of a company’s NOLs if it undergoes an “ownership change.” Our ability to benefit from its tax assets would be substantially limited by Section 382 if an “ownership change” occurred. A company experiences an “ownership change” for tax purposes if the percentage of stock owned by one or a group of its 5% stockholders (as defined for tax purposes) increases by more than 50 percentage points over a rolling three-year period over the lowest percentage of stock of such corporation owned by such stockholders at any time during that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tax benefits preservation plan is similar to those adopted by numerous other public companies with significant NOLs. In order to protect our NOLs from being limited or permanently lost under Section 382, the tax benefits preservation plan is intended to reduce the likelihood of an unintended “ownership change” occurring through the buying and selling of our common stock. This is accomplished by deterring any person or group from acquiring beneficial ownership of 4.99% or more of our outstanding common stock without the approval of the Board. Our tax benefits preservation plan does not, however, block anyone from buying or selling our common stock. Accordingly, there can be no assurance that the tax benefits preservation plan will prevent an “ownership change.”</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tax benefits preservation plan, we distributed to our stockholders one preferred stock purchase right for each share of our common stock held as of the close of business on July 11, 2023. Any shares of common stock issued after the July 11, 2023 record date will be issued together with associated preferred stock purchase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tax benefits preservation plan, the rights will initially trade with our common stock. The rights will generally become exercisable only if a person (or any persons acting as a group) acquires beneficial ownership of 4.99% or more of our outstanding common stock, without the approval of the Board, after the first public announcement by us of the adoption of the tax benefits preservation plan. A person or group who acquires, without the approval of the Board, beneficial ownership of 4.99% or more of our outstanding common stock could be subject to significant dilution. If the preferred stock purchase rights become exercisable, all holders of rights, other than the person or group triggering the rights, will be entitled to purchase our common stock at a 50% discount. The Board also has the option to cause the exchange of one share of common stock for each preferred stock purchase right held. Preferred stock purchase rights held by the person or group triggering the rights will become null and void and will not be exercisable or transferable.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who beneficially owned 4.99% or more of our outstanding common stock prior to the first public announcement by us of the adoption of the tax benefits preservation plan will not trigger any penalties under the tax benefits preservation plan so long as they do not acquire beneficial ownership of any additional shares of common stock (other than pursuant to a stock split, stock dividend, reclassification, or similar transaction effected by us) at a time when they still beneficially own 4.99% or more of such common stock. The Board also has the discretion to exempt any acquisition of our common stock from the provisions of the tax benefits preservation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amended and restated, the preferred stock purchase rights and the tax benefits preservation plan will expire no later than June 29, 2029. The preferred stock purchase rights and the tax benefits preservation plan may also expire on an earlier date upon the occurrence of other events, including a determination by our Board that (i) the tax benefits preservation plan is no longer necessary for the preservation of our tax attributes, (ii) no tax attributes may be carried forward (with such expiration occurring as of the beginning of the applicable taxable year), or (iii) prior to the time any person or group acquires 4.99% or more of our common stock, that the tax benefits preservation plan and the preferred stock purchase rights are no longer in the best interests of us and our stockholders. The preferred stock purchase rights may also be redeemed, exchanged, or terminated prior to their expiration.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Amendment of Certificate of Incorporation and Bylaws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75% of the voting power of our capital stock issued and outstanding and entitled to vote on the matter.</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Limitation of Liability and Indemnification of Officers and Directors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limits the personal liability of directors for breach of fiduciary duty to the maximum extent permitted by the Delaware General Corporation Law. Our certificate of incorporation provides that no director will have personal liability to us or to our stockholders for monetary damages for breach of fiduciary duty or other duty as a director. However, these provisions do not eliminate or limit the liability of any of our directors:</w:t>
      </w:r>
    </w:p>
    <w:p>
      <w:pPr>
        <w:pStyle w:val="TextBody"/>
        <w:bidi w:val="0"/>
        <w:spacing w:before="0" w:after="0"/>
        <w:ind w:left="0" w:right="0" w:hanging="0"/>
        <w:jc w:val="center"/>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75"/>
        <w:gridCol w:w="170"/>
        <w:gridCol w:w="88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any breach of their duty of loyalty to us or our stockholders;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8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acts or omissions not in good faith or that involve intentional misconduct or a knowing violation of law;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8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voting or assenting to unlawful payments of dividends or other distributions; or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8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any transaction from which the director derived an improper personal benefit.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to or repeal of these provisions will not eliminate or reduce the effect of these provisions in respect of any act or failure to act, or any cause of action, suit or claim that would accrue or arise prior to any amendment or repeal or adoption of an inconsistent provision.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certificate of incorporation provides that we must indemnify our directors and officers and we must advance expenses, including attorneys’ fees, to our directors and officers in connection with legal proceedings, subject to limited exceptions.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Notice of Share Ownership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contain a provision requiring any beneficial owner of three percent or more of our outstanding common stock to notify us of his or her stockholdings, as well as of any change in his or her beneficial ownership of one percent or more of our outstanding common stock. Our bylaws do not provide for any specific remedy in the event a stockholder does not comply with this provision. We do not intend to make any such information public, unless required by law or the rules of the SEC or the NYSE American.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Authorized but Unissued Shares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but unissued shares of common stock and preferred stock are available for future issuance without stockholder approval, subject to any limitations imposed by the listing standards of the NYSE American.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Transfer Agent and Registrar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Computershare Trust Company, N.A. Its address is 250 Royall Street, Canton, MA 02021-1011, and its telephone number is 1-800-662-7232.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NYSE American under the symbol “OPTT.”</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ns_009"/>
      <w:bookmarkEnd w:id="10"/>
      <w:r>
        <w:rPr>
          <w:rFonts w:ascii="Times New Roman;Times;Serif" w:hAnsi="Times New Roman;Times;Serif"/>
          <w:b/>
          <w:i w:val="false"/>
          <w:caps/>
          <w:sz w:val="20"/>
        </w:rPr>
        <w:t>SELLING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relating to the selling stockholders’ beneficial ownership of our shares as of September 1, 2026. This prospectus covers the offering for resale from time to time of up to 366,162 shares issued as part of the acquisition of the assets of Columbia Power Technologies, Inc. in June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“selling stockholders” includes partners, pledgees, donees (including charitable organizations), assignees, transferees or other successors-in-interest selling shares received from a named selling stockholder after the date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offer or sale under this prospectus may be made by a stockholder unless that holder is listed in the table below, in a supplement to this prospectus or in an amendment to the related registration statement that has become effective under the Securities Act. We will supplement or amend this prospectus to include additional selling stockholders upon request and upon provision of all required information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and related footnotes set forth:</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each selling stockholder;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different, the name of the natural person(s) who exercise(s) sole/shared voting and/or investment power with respect to the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our shares beneficially owned by such stockholder prior to the offering;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being offered for the stockholder’s account;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to be owned by such stockholder after completion of the offering (assuming the sale of all shares offered by this prospectus).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none of the selling stockholders is a broker-dealer registered under Section 15 of the Exchange Act, or an affiliate of a broker-dealer registered under Section 15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prepared the table based on information supplied to us by the selling stockholder. We have not sought to verify such information. The percentages of shares beneficially owned and being offered are based on the 9,004,628 shares of common stock that were outstanding as of September 1, 2026, unless otherwise stated in the footnotes to the table below. Other information about the selling stockholders may also change over time. The address of the selling stockholder is Columbia Power Acquisition, Inc., 2150 Wise Street #5702, Charlottesville, VA 22905.</w:t>
      </w:r>
    </w:p>
    <w:p>
      <w:pPr>
        <w:pStyle w:val="TextBody"/>
        <w:bidi w:val="0"/>
        <w:spacing w:before="0" w:after="0"/>
        <w:ind w:left="0" w:right="0" w:hanging="0"/>
        <w:jc w:val="center"/>
        <w:rPr>
          <w:caps w:val="false"/>
          <w:smallCaps w:val="false"/>
        </w:rPr>
      </w:pPr>
      <w:r>
        <w:rPr>
          <w:caps w:val="false"/>
          <w:smallCaps w:val="false"/>
        </w:rPr>
        <w:t> </w:t>
      </w:r>
    </w:p>
    <w:tbl>
      <w:tblPr>
        <w:tblW w:w="9689" w:type="dxa"/>
        <w:jc w:val="left"/>
        <w:tblInd w:w="0" w:type="dxa"/>
        <w:tblLayout w:type="fixed"/>
        <w:tblCellMar>
          <w:top w:w="0" w:type="dxa"/>
          <w:left w:w="0" w:type="dxa"/>
          <w:bottom w:w="28" w:type="dxa"/>
          <w:right w:w="0" w:type="dxa"/>
        </w:tblCellMar>
      </w:tblPr>
      <w:tblGrid>
        <w:gridCol w:w="3455"/>
        <w:gridCol w:w="60"/>
        <w:gridCol w:w="86"/>
        <w:gridCol w:w="1238"/>
        <w:gridCol w:w="86"/>
        <w:gridCol w:w="86"/>
        <w:gridCol w:w="126"/>
        <w:gridCol w:w="674"/>
        <w:gridCol w:w="215"/>
        <w:gridCol w:w="60"/>
        <w:gridCol w:w="73"/>
        <w:gridCol w:w="1056"/>
        <w:gridCol w:w="60"/>
        <w:gridCol w:w="60"/>
        <w:gridCol w:w="339"/>
        <w:gridCol w:w="536"/>
        <w:gridCol w:w="302"/>
        <w:gridCol w:w="302"/>
        <w:gridCol w:w="308"/>
        <w:gridCol w:w="492"/>
        <w:gridCol w:w="75"/>
      </w:tblGrid>
      <w:tr>
        <w:trPr/>
        <w:tc>
          <w:tcPr>
            <w:tcW w:w="3455" w:type="dxa"/>
            <w:tcBorders>
              <w:bottom w:val="single" w:sz="8" w:space="0" w:color="000000"/>
            </w:tcBorders>
            <w:vAlign w:val="center"/>
          </w:tcPr>
          <w:p>
            <w:pPr>
              <w:pStyle w:val="TableContents"/>
              <w:bidi w:val="0"/>
              <w:spacing w:before="0" w:after="283"/>
              <w:jc w:val="left"/>
              <w:rPr>
                <w:b/>
              </w:rPr>
            </w:pPr>
            <w:r>
              <w:rPr>
                <w:b/>
              </w:rPr>
              <w:t>Selling Stockholder</w:t>
            </w:r>
          </w:p>
        </w:tc>
        <w:tc>
          <w:tcPr>
            <w:tcW w:w="60" w:type="dxa"/>
            <w:tcBorders/>
            <w:tcMar>
              <w:bottom w:w="0" w:type="dxa"/>
            </w:tcMar>
            <w:vAlign w:val="center"/>
          </w:tcPr>
          <w:p>
            <w:pPr>
              <w:pStyle w:val="TableContents"/>
              <w:bidi w:val="0"/>
              <w:spacing w:before="0" w:after="283"/>
              <w:jc w:val="left"/>
              <w:rPr/>
            </w:pPr>
            <w:r>
              <w:rPr/>
              <w:t> </w:t>
            </w:r>
          </w:p>
        </w:tc>
        <w:tc>
          <w:tcPr>
            <w:tcW w:w="2296" w:type="dxa"/>
            <w:gridSpan w:val="6"/>
            <w:tcBorders>
              <w:bottom w:val="single" w:sz="8" w:space="0" w:color="000000"/>
            </w:tcBorders>
            <w:vAlign w:val="center"/>
          </w:tcPr>
          <w:p>
            <w:pPr>
              <w:pStyle w:val="TableContents"/>
              <w:bidi w:val="0"/>
              <w:spacing w:before="0" w:after="283"/>
              <w:jc w:val="center"/>
              <w:rPr>
                <w:b/>
              </w:rPr>
            </w:pPr>
            <w:r>
              <w:rPr>
                <w:b/>
              </w:rPr>
              <w:t xml:space="preserve">Common Stock </w:t>
              <w:br/>
              <w:t xml:space="preserve">Beneficially Owned </w:t>
              <w:br/>
              <w:t>Prior to Offering</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9" w:type="dxa"/>
            <w:gridSpan w:val="2"/>
            <w:tcBorders/>
            <w:tcMar>
              <w:bottom w:w="0" w:type="dxa"/>
            </w:tcMar>
            <w:vAlign w:val="center"/>
          </w:tcPr>
          <w:p>
            <w:pPr>
              <w:pStyle w:val="TableContents"/>
              <w:bidi w:val="0"/>
              <w:spacing w:before="0" w:after="283"/>
              <w:jc w:val="center"/>
              <w:rPr>
                <w:b/>
              </w:rPr>
            </w:pPr>
            <w:r>
              <w:rPr>
                <w:b/>
              </w:rPr>
              <w:t>Number of</w:t>
              <w:br/>
              <w:t>Shares</w:t>
              <w:br/>
              <w:t xml:space="preserve">Which </w:t>
              <w:br/>
              <w:t xml:space="preserve">May be </w:t>
              <w:br/>
              <w:t xml:space="preserve">Sold in </w:t>
              <w:br/>
              <w:t>This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79" w:type="dxa"/>
            <w:gridSpan w:val="6"/>
            <w:tcBorders>
              <w:bottom w:val="single" w:sz="8" w:space="0" w:color="000000"/>
            </w:tcBorders>
            <w:vAlign w:val="center"/>
          </w:tcPr>
          <w:p>
            <w:pPr>
              <w:pStyle w:val="TableContents"/>
              <w:bidi w:val="0"/>
              <w:spacing w:before="0" w:after="283"/>
              <w:jc w:val="center"/>
              <w:rPr>
                <w:b/>
              </w:rPr>
            </w:pPr>
            <w:r>
              <w:rPr>
                <w:b/>
              </w:rPr>
              <w:t xml:space="preserve">Common Stock </w:t>
              <w:br/>
              <w:t xml:space="preserve">Beneficially Owned </w:t>
              <w:br/>
              <w:t>After this Offering(1)</w:t>
            </w:r>
          </w:p>
        </w:tc>
        <w:tc>
          <w:tcPr>
            <w:tcW w:w="75" w:type="dxa"/>
            <w:tcBorders/>
            <w:tcMar>
              <w:bottom w:w="0" w:type="dxa"/>
            </w:tcMar>
            <w:vAlign w:val="center"/>
          </w:tcPr>
          <w:p>
            <w:pPr>
              <w:pStyle w:val="TableContents"/>
              <w:bidi w:val="0"/>
              <w:spacing w:before="0" w:after="283"/>
              <w:jc w:val="left"/>
              <w:rPr/>
            </w:pPr>
            <w:r>
              <w:rPr/>
              <w:t> </w:t>
            </w:r>
          </w:p>
        </w:tc>
      </w:tr>
      <w:tr>
        <w:trPr/>
        <w:tc>
          <w:tcPr>
            <w:tcW w:w="34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24" w:type="dxa"/>
            <w:gridSpan w:val="2"/>
            <w:tcBorders>
              <w:bottom w:val="single" w:sz="8" w:space="0" w:color="000000"/>
            </w:tcBorders>
            <w:vAlign w:val="center"/>
          </w:tcPr>
          <w:p>
            <w:pPr>
              <w:pStyle w:val="TableContents"/>
              <w:bidi w:val="0"/>
              <w:spacing w:before="0" w:after="283"/>
              <w:jc w:val="center"/>
              <w:rPr>
                <w:b/>
              </w:rPr>
            </w:pPr>
            <w:r>
              <w:rPr>
                <w:b/>
              </w:rPr>
              <w:t>Number</w:t>
            </w:r>
          </w:p>
        </w:tc>
        <w:tc>
          <w:tcPr>
            <w:tcW w:w="86" w:type="dxa"/>
            <w:tcBorders/>
            <w:tcMar>
              <w:bottom w:w="0" w:type="dxa"/>
            </w:tcMar>
            <w:vAlign w:val="center"/>
          </w:tcPr>
          <w:p>
            <w:pPr>
              <w:pStyle w:val="TableContents"/>
              <w:bidi w:val="0"/>
              <w:spacing w:before="0" w:after="283"/>
              <w:jc w:val="left"/>
              <w:rPr/>
            </w:pPr>
            <w:r>
              <w:rPr/>
              <w:t> </w:t>
            </w:r>
          </w:p>
        </w:tc>
        <w:tc>
          <w:tcPr>
            <w:tcW w:w="86"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8" w:space="0" w:color="000000"/>
            </w:tcBorders>
            <w:vAlign w:val="center"/>
          </w:tcPr>
          <w:p>
            <w:pPr>
              <w:pStyle w:val="TableContents"/>
              <w:bidi w:val="0"/>
              <w:spacing w:before="0" w:after="283"/>
              <w:jc w:val="center"/>
              <w:rPr>
                <w:b/>
              </w:rPr>
            </w:pPr>
            <w:r>
              <w:rPr>
                <w:b/>
              </w:rPr>
              <w:t>Percent</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9" w:type="dxa"/>
            <w:gridSpan w:val="2"/>
            <w:tcBorders>
              <w:bottom w:val="single" w:sz="8" w:space="0" w:color="000000"/>
            </w:tcBorders>
            <w:vAlign w:val="center"/>
          </w:tcPr>
          <w:p>
            <w:pPr>
              <w:pStyle w:val="TableContents"/>
              <w:bidi w:val="0"/>
              <w:spacing w:before="0" w:after="283"/>
              <w:jc w:val="center"/>
              <w:rPr>
                <w:b/>
              </w:rPr>
            </w:pPr>
            <w:r>
              <w:rPr>
                <w:b/>
              </w:rPr>
              <w:t>Offering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5" w:type="dxa"/>
            <w:gridSpan w:val="2"/>
            <w:tcBorders>
              <w:bottom w:val="single" w:sz="8" w:space="0" w:color="000000"/>
            </w:tcBorders>
            <w:vAlign w:val="center"/>
          </w:tcPr>
          <w:p>
            <w:pPr>
              <w:pStyle w:val="TableContents"/>
              <w:bidi w:val="0"/>
              <w:spacing w:before="0" w:after="283"/>
              <w:jc w:val="center"/>
              <w:rPr>
                <w:b/>
              </w:rPr>
            </w:pPr>
            <w:r>
              <w:rPr>
                <w:b/>
              </w:rPr>
              <w:t>Number</w:t>
            </w:r>
          </w:p>
        </w:tc>
        <w:tc>
          <w:tcPr>
            <w:tcW w:w="302" w:type="dxa"/>
            <w:tcBorders/>
            <w:tcMar>
              <w:bottom w:w="0" w:type="dxa"/>
            </w:tcMar>
            <w:vAlign w:val="center"/>
          </w:tcPr>
          <w:p>
            <w:pPr>
              <w:pStyle w:val="TableContents"/>
              <w:bidi w:val="0"/>
              <w:spacing w:before="0" w:after="283"/>
              <w:jc w:val="left"/>
              <w:rPr/>
            </w:pPr>
            <w:r>
              <w:rPr/>
              <w:t> </w:t>
            </w:r>
          </w:p>
        </w:tc>
        <w:tc>
          <w:tcPr>
            <w:tcW w:w="302"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8" w:space="0" w:color="000000"/>
            </w:tcBorders>
            <w:vAlign w:val="center"/>
          </w:tcPr>
          <w:p>
            <w:pPr>
              <w:pStyle w:val="TableContents"/>
              <w:bidi w:val="0"/>
              <w:spacing w:before="0" w:after="283"/>
              <w:jc w:val="center"/>
              <w:rPr>
                <w:b/>
              </w:rPr>
            </w:pPr>
            <w:r>
              <w:rPr>
                <w:b/>
              </w:rPr>
              <w:t>Percent</w:t>
            </w:r>
          </w:p>
        </w:tc>
        <w:tc>
          <w:tcPr>
            <w:tcW w:w="75" w:type="dxa"/>
            <w:tcBorders/>
            <w:tcMar>
              <w:bottom w:w="0" w:type="dxa"/>
            </w:tcMar>
            <w:vAlign w:val="center"/>
          </w:tcPr>
          <w:p>
            <w:pPr>
              <w:pStyle w:val="TableContents"/>
              <w:bidi w:val="0"/>
              <w:spacing w:before="0" w:after="283"/>
              <w:jc w:val="left"/>
              <w:rPr/>
            </w:pPr>
            <w:r>
              <w:rPr/>
              <w:t> </w:t>
            </w:r>
          </w:p>
        </w:tc>
      </w:tr>
      <w:tr>
        <w:trPr/>
        <w:tc>
          <w:tcPr>
            <w:tcW w:w="3455" w:type="dxa"/>
            <w:tcBorders/>
            <w:shd w:fill="CCEEFF" w:val="clear"/>
            <w:tcMar>
              <w:bottom w:w="0" w:type="dxa"/>
            </w:tcMar>
            <w:vAlign w:val="center"/>
          </w:tcPr>
          <w:p>
            <w:pPr>
              <w:pStyle w:val="TableContents"/>
              <w:bidi w:val="0"/>
              <w:spacing w:before="0" w:after="283"/>
              <w:jc w:val="left"/>
              <w:rPr/>
            </w:pPr>
            <w:r>
              <w:rPr/>
              <w:t>Columbia Power Technologies,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 xml:space="preserve">366,162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674" w:type="dxa"/>
            <w:tcBorders/>
            <w:shd w:fill="CCEEFF" w:val="clear"/>
            <w:tcMar>
              <w:bottom w:w="0" w:type="dxa"/>
            </w:tcMar>
            <w:vAlign w:val="center"/>
          </w:tcPr>
          <w:p>
            <w:pPr>
              <w:pStyle w:val="TableContents"/>
              <w:bidi w:val="0"/>
              <w:spacing w:before="0" w:after="283"/>
              <w:jc w:val="right"/>
              <w:rPr/>
            </w:pPr>
            <w:r>
              <w:rPr/>
              <w:t>4.0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056" w:type="dxa"/>
            <w:tcBorders/>
            <w:shd w:fill="CCEEFF" w:val="clear"/>
            <w:tcMar>
              <w:bottom w:w="0" w:type="dxa"/>
            </w:tcMar>
            <w:vAlign w:val="center"/>
          </w:tcPr>
          <w:p>
            <w:pPr>
              <w:pStyle w:val="TableContents"/>
              <w:bidi w:val="0"/>
              <w:spacing w:before="0" w:after="283"/>
              <w:jc w:val="right"/>
              <w:rPr/>
            </w:pPr>
            <w:r>
              <w:rPr/>
              <w:t xml:space="preserve">366,162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9" w:type="dxa"/>
            <w:tcBorders/>
            <w:shd w:fill="CCEEFF" w:val="clear"/>
            <w:tcMar>
              <w:bottom w:w="0" w:type="dxa"/>
            </w:tcMar>
            <w:vAlign w:val="center"/>
          </w:tcPr>
          <w:p>
            <w:pPr>
              <w:pStyle w:val="TableContents"/>
              <w:bidi w:val="0"/>
              <w:spacing w:before="0" w:after="283"/>
              <w:jc w:val="left"/>
              <w:rPr/>
            </w:pPr>
            <w:r>
              <w:rPr/>
              <w:t> </w:t>
            </w:r>
          </w:p>
        </w:tc>
        <w:tc>
          <w:tcPr>
            <w:tcW w:w="536" w:type="dxa"/>
            <w:tcBorders/>
            <w:shd w:fill="CCEEFF" w:val="clear"/>
            <w:tcMar>
              <w:bottom w:w="0" w:type="dxa"/>
            </w:tcMar>
            <w:vAlign w:val="center"/>
          </w:tcPr>
          <w:p>
            <w:pPr>
              <w:pStyle w:val="TableContents"/>
              <w:bidi w:val="0"/>
              <w:spacing w:before="0" w:after="283"/>
              <w:jc w:val="right"/>
              <w:rPr/>
            </w:pPr>
            <w:r>
              <w:rPr/>
              <w:t>-</w:t>
            </w:r>
          </w:p>
        </w:tc>
        <w:tc>
          <w:tcPr>
            <w:tcW w:w="302" w:type="dxa"/>
            <w:tcBorders/>
            <w:shd w:fill="CCEEFF" w:val="clear"/>
            <w:tcMar>
              <w:bottom w:w="0" w:type="dxa"/>
            </w:tcMar>
            <w:vAlign w:val="center"/>
          </w:tcPr>
          <w:p>
            <w:pPr>
              <w:pStyle w:val="TableContents"/>
              <w:bidi w:val="0"/>
              <w:spacing w:before="0" w:after="283"/>
              <w:jc w:val="left"/>
              <w:rPr/>
            </w:pPr>
            <w:r>
              <w:rPr/>
              <w:t> </w:t>
            </w:r>
          </w:p>
        </w:tc>
        <w:tc>
          <w:tcPr>
            <w:tcW w:w="302" w:type="dxa"/>
            <w:tcBorders/>
            <w:shd w:fill="CCEEFF" w:val="clear"/>
            <w:tcMar>
              <w:bottom w:w="0" w:type="dxa"/>
            </w:tcMar>
            <w:vAlign w:val="center"/>
          </w:tcPr>
          <w:p>
            <w:pPr>
              <w:pStyle w:val="TableContents"/>
              <w:bidi w:val="0"/>
              <w:spacing w:before="0" w:after="283"/>
              <w:jc w:val="left"/>
              <w:rPr/>
            </w:pPr>
            <w:r>
              <w:rPr/>
              <w:t> </w:t>
            </w:r>
          </w:p>
        </w:tc>
        <w:tc>
          <w:tcPr>
            <w:tcW w:w="308"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one percent.</w:t>
      </w:r>
    </w:p>
    <w:p>
      <w:pPr>
        <w:pStyle w:val="TextBody"/>
        <w:bidi w:val="0"/>
        <w:spacing w:before="0" w:after="0"/>
        <w:ind w:left="720" w:right="0" w:hanging="720"/>
        <w:jc w:val="both"/>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260"/>
        <w:gridCol w:w="8570"/>
      </w:tblGrid>
      <w:tr>
        <w:trPr/>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Assumes that the selling stockholder will sell all of the common stock offered pursuant to this prospectus.</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ns_010"/>
      <w:bookmarkEnd w:id="11"/>
      <w:r>
        <w:rPr>
          <w:rFonts w:ascii="Times New Roman;Times;Serif" w:hAnsi="Times New Roman;Times;Serif"/>
          <w:b/>
          <w:i w:val="false"/>
          <w:caps/>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of the securities and any of its pledgees, assignees and successors-in-interest may, from time to time, sell any or all of their securities covered hereby on the principal trading market for such securities or any other stock exchange, market or trading facility on which the securities are traded or in private transactions. These sales may be at fixed or negotiated prices. The selling stockholder may use any one or more of the following methods when selling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ordinary brokerage transactions and transactions in which the broker-dealer solicits purchasers;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block trades in which the broker-dealer will attempt to sell the securities as agent but may position and resell a portion of the block as principal to facilitate the transaction;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purchases by a broker-dealer as principal and resale by the broker-dealer for its account;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 exchange distribution in accordance with the rules of the applicable exchange;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privately negotiated transactions;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settlement of short sales;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 transactions through broker-dealers that agree with the selling stockholders to sell a specified number of such securities at a stipulated price per security;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through the writing or settlement of options or other hedging transactions, whether through an options exchange or otherwise;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combination of any such methods of sale; 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any other method permitted pursuant to applicable law.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also sell securities under Rule 144 or any other exemption from registration under the Securities Act, if available, rather than under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selling stockholder may arrange for other brokers-dealers to participate in sales. Broker-dealers may receive commissions or discounts from the selling stockholder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or interests therein, the selling stockholder may enter into hedging transactions with broker-dealers or other financial institutions, which may in turn engage in short sales of the securities in the course of hedging the positions they assume. The selling stockholder may also sell securities short and deliver these securities to close out their short positions, or loan or pledge the securities to broker-dealers that in turn may sell these securities. The selling stockholder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The selling stockholder has informed us that it does not have any written or oral agreement or understanding, directly or indirectly, with any person to distribute the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pay certain fees and expenses incurred by us incident to the registration of the securities. We have agreed to indemnify the selling stockholder against certain losses, claims, damages and liabilities, including liabilities under the Securities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agreed to keep this prospectus effective until the earlier of (i) the date on which the securities may be resold by the selling stockholder without registration and without regard to any volume or manner-of-sale limitations by reason of Rule 144, without the requirement for us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 will be subject to applicable provisions of the Exchange Act and the rules and regulations thereunder, including Regulation M, which may limit the timing of purchases and sales of the common stock by the selling stockholder or any other person. We will make copies of this prospectus available to the selling stockholder and have informed them of the need to deliver a copy of this prospectus to each purchaser at or prior to the time of the sale (including by compliance with Rule 172 under the Securities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plan of distribution, selling stockholders who are also our employees remain subject to the terms, conditions and restrictions of our corporate policies and procedures, including without limitation, our insider trading policy.</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ns_011"/>
      <w:bookmarkEnd w:id="12"/>
      <w:r>
        <w:rPr>
          <w:rFonts w:ascii="Times New Roman;Times;Serif" w:hAnsi="Times New Roman;Times;Serif"/>
          <w:b/>
          <w:i w:val="false"/>
          <w:caps/>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in connection with the securities offered hereby will be passed on for us by Porter Hedges LLP, Houston, Texas. Any underwriters will be advised about other issues relating to any offering by their own legal counsel.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ns_012"/>
      <w:bookmarkEnd w:id="13"/>
      <w:r>
        <w:rPr>
          <w:rFonts w:ascii="Times New Roman;Times;Serif" w:hAnsi="Times New Roman;Times;Serif"/>
          <w:b/>
          <w:i w:val="false"/>
          <w:caps/>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Ocean Power Technologies, Inc. and subsidiaries (the Company) incorporated by reference from the Annual Report on Form 10-K of the Company for the year ended April 30, 2026 have been audited by Baker Tilly US, LLP, an independent registered public accounting firm, as stated in their report (which report expresses an unqualified opinion and includes an explanatory paragraph relating to a going concern uncertainty) which is incorporated herein by reference. Such consolidated financial statements have been so incorporated in reliance upon the report of such firm given their authority as experts in accounting and auditing.</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OCEAN POWER TECHNOLOGIES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366,162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771775" cy="638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8"/>
                    <a:stretch>
                      <a:fillRect/>
                    </a:stretch>
                  </pic:blipFill>
                  <pic:spPr bwMode="auto">
                    <a:xfrm>
                      <a:off x="0" y="0"/>
                      <a:ext cx="2771775" cy="6381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14. </w:t>
      </w:r>
      <w:r>
        <w:rPr>
          <w:rFonts w:ascii="Times New Roman;Times;Serif" w:hAnsi="Times New Roman;Times;Serif"/>
          <w:b/>
          <w:i/>
          <w:caps w:val="false"/>
          <w:smallCaps w:val="false"/>
          <w:sz w:val="20"/>
        </w:rPr>
        <w:t>Other Expenses of Issuance and Distribution.</w:t>
      </w:r>
    </w:p>
    <w:p>
      <w:pPr>
        <w:pStyle w:val="TextBody"/>
        <w:bidi w:val="0"/>
        <w:spacing w:before="0" w:after="0"/>
        <w:ind w:left="40" w:right="0" w:firstLine="3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various expenses, all of which will be borne by us, in connection with the sale and distribution of the securities being registered, other than the underwriting discounts, commissions, and expenses. All amounts shown are estimates except for the Securities and Exchange Commission registration fee.</w:t>
      </w:r>
    </w:p>
    <w:p>
      <w:pPr>
        <w:pStyle w:val="TextBody"/>
        <w:bidi w:val="0"/>
        <w:spacing w:before="0" w:after="0"/>
        <w:ind w:left="40" w:right="0" w:firstLine="300"/>
        <w:jc w:val="both"/>
        <w:rPr>
          <w:caps w:val="false"/>
          <w:smallCaps w:val="false"/>
        </w:rPr>
      </w:pPr>
      <w:r>
        <w:rPr>
          <w:caps w:val="false"/>
          <w:smallCaps w:val="false"/>
        </w:rPr>
        <w:t> </w:t>
      </w:r>
    </w:p>
    <w:tbl>
      <w:tblPr>
        <w:tblW w:w="6015" w:type="dxa"/>
        <w:jc w:val="left"/>
        <w:tblInd w:w="0" w:type="dxa"/>
        <w:tblLayout w:type="fixed"/>
        <w:tblCellMar>
          <w:top w:w="0" w:type="dxa"/>
          <w:left w:w="0" w:type="dxa"/>
          <w:bottom w:w="0" w:type="dxa"/>
          <w:right w:w="0" w:type="dxa"/>
        </w:tblCellMar>
      </w:tblPr>
      <w:tblGrid>
        <w:gridCol w:w="5060"/>
        <w:gridCol w:w="60"/>
        <w:gridCol w:w="140"/>
        <w:gridCol w:w="680"/>
        <w:gridCol w:w="75"/>
      </w:tblGrid>
      <w:tr>
        <w:trPr/>
        <w:tc>
          <w:tcPr>
            <w:tcW w:w="5060" w:type="dxa"/>
            <w:tcBorders/>
            <w:shd w:fill="CCEEFF" w:val="clear"/>
            <w:vAlign w:val="center"/>
          </w:tcPr>
          <w:p>
            <w:pPr>
              <w:pStyle w:val="TableContents"/>
              <w:bidi w:val="0"/>
              <w:spacing w:before="0" w:after="283"/>
              <w:jc w:val="left"/>
              <w:rPr/>
            </w:pPr>
            <w:r>
              <w:rPr/>
              <w:t>Securities and Exchange Commission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283</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Accounting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25,000</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Legal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20,000</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Transfer agent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10,000</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Miscellaneous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717</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56,000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15. </w:t>
      </w:r>
      <w:r>
        <w:rPr>
          <w:rFonts w:ascii="Times New Roman;Times;Serif" w:hAnsi="Times New Roman;Times;Serif"/>
          <w:b/>
          <w:i/>
          <w:caps w:val="false"/>
          <w:smallCaps w:val="false"/>
          <w:sz w:val="20"/>
        </w:rPr>
        <w:t>Indemnification of Directors and Officers.</w:t>
      </w:r>
    </w:p>
    <w:p>
      <w:pPr>
        <w:pStyle w:val="TextBody"/>
        <w:bidi w:val="0"/>
        <w:spacing w:before="0" w:after="0"/>
        <w:ind w:left="40" w:right="0" w:firstLine="3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The registrant’s certificate of incorporation provides that no director of the registrant shall be personally liable to it or its stockholders for monetary damages for any breach of fiduciary duty as director, notwithstanding any provision of law imposing such liability, except to the extent that the General Corporation Law of the State of Delaware prohibits the elimination or limitation of liability of directors for breaches of fiduciary duty.</w:t>
      </w:r>
    </w:p>
    <w:p>
      <w:pPr>
        <w:pStyle w:val="TextBody"/>
        <w:bidi w:val="0"/>
        <w:spacing w:before="0" w:after="0"/>
        <w:ind w:left="40" w:right="0" w:firstLine="3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General Corporation Law of the State of Delaware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is or is threatened to be made a party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pStyle w:val="TextBody"/>
        <w:bidi w:val="0"/>
        <w:spacing w:before="0" w:after="0"/>
        <w:ind w:left="40" w:right="0" w:firstLine="3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certificate of incorporation provides that the registrant will indemnify each person who was or is a party or threatened to be made a party to any threatened, pending or completed action, suit or proceeding (other than an action by or in the right of the registrant) by reason of the fact that he or she is or was, or has agreed to become, a director or officer of the registrant, or is or was serving, or has agreed to serve, at the registrant’s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the registrant’s best interests, and, with respect to any criminal action or proceeding, he or she had no reasonable cause to believe his or her conduct was unlawful.</w:t>
      </w:r>
    </w:p>
    <w:p>
      <w:pPr>
        <w:pStyle w:val="TextBody"/>
        <w:bidi w:val="0"/>
        <w:spacing w:before="0" w:after="0"/>
        <w:ind w:left="40" w:right="0" w:firstLine="3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certificate of incorporation provides that the registrant will indemnify any Indemnitee who was or is a party to an action or suit by or in the right of the registrant to procure a judgment in the registrant’s favor by reason of the fact that the Indemnitee is or was, or has agreed to become, a director or officer of the registrant, or is or was serving, or has agreed to serve, at the registrant’s request as a director, officer, partner, employee or trustee or,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the best interests of the registrant, except that no indemnification shall be made with respect to any claim, issue or matter as to which such person shall have been adjudged to be liable to the registrant,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the registrant against all expenses (including attorneys’ fees) actually and reasonably incurred in connection therewith. Expenses must be advanced to an Indemnitee under certain circumstances.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maintains a general liability insurance policy that covers certain liabilities of the registrant’s directors and officers arising out of claims based on acts or omissions in their capacities as directors or officers.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directors and officers are covered by insurance policies indemnifying them against certain liabilities, including certain liabilities arising under the Securities Act of 1933, as amended, which might be incurred by them in such capacities and against which they cannot be indemnified by the registrant.</w:t>
      </w:r>
    </w:p>
    <w:p>
      <w:pPr>
        <w:pStyle w:val="TextBody"/>
        <w:bidi w:val="0"/>
        <w:spacing w:before="0" w:after="0"/>
        <w:ind w:left="0" w:right="0" w:hanging="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16. </w:t>
      </w:r>
      <w:r>
        <w:rPr>
          <w:rFonts w:ascii="Times New Roman;Times;Serif" w:hAnsi="Times New Roman;Times;Serif"/>
          <w:b/>
          <w:i/>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76"/>
        <w:gridCol w:w="9629"/>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9629" w:type="dxa"/>
            <w:tcBorders/>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Restated Certificate of Incorporation of the registrant (incorporated by reference from Exhibit 3.1 to our Quarterly Report on Form 10-Q filed September 14, 2007).</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9629" w:type="dxa"/>
            <w:tcBorders/>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Certificate of Amendment of Certificate of Incorporation of Ocean Power Technologies, Inc. dated October 27, 2015 (incorporated by reference from Exhibit 3.1 to Current Report on Form 8-K filed on October 28, 2015).</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9629" w:type="dxa"/>
            <w:tcBorders/>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Certificate of Amendment to Certificate of Incorporation of the Company, filed with the Secretary of State of the State of Delaware on October 21, 2016 (incorporated by reference to Exhibit 3.1 to the Company’s Current Report on Form 8-K filed on October 21, 2016).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9629" w:type="dxa"/>
            <w:tcBorders/>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Certificate of Amendment to Certificate of Incorporation of the Company, filed with the Secretary of State of the State of Delaware on December 7, 2018 (incorporated by reference to Exhibit 3.1 to the Company’s Current Report on Form 8-K filed on December 7, 2018).</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9629" w:type="dxa"/>
            <w:tcBorders/>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Certificate of Amendment to Certificate of Incorporation of the Company, filed with the Secretary of State of the State of Delaware on March 8, 2019 (incorporated by reference to Exhibit 3.1 to the Company’s Current Report on Form 8-K filed on March 8, 2019).</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9629" w:type="dxa"/>
            <w:tcBorders/>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Certificate of Amendment to the Certificate of Incorporation of Ocean Power Technologies, Inc., filed with the Secretary of State of the State of Delaware on August 30, 2024 (incorporated by reference to Exhibit 3.1 to the Current Report on Form 8-K filed with the Securities and Exchange Commission by Ocean Power Technologies, Inc. on August 30, 2024).</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9629" w:type="dxa"/>
            <w:tcBorders/>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Certificate of Amendment to the Certificate of Incorporation of Ocean Power Technologies, Inc., filed with the Secretary of State of the State of Delaware on April 30, 2025 (incorporated by reference to Exhibit 3.1 to the Current Report on Form 8-K filed with the Securities and Exchange Commission by Ocean Power Technologies, Inc. on May 1, 2025).</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9629" w:type="dxa"/>
            <w:tcBorders/>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sz w:val="20"/>
                </w:rPr>
                <w:t>Certificate of Amendment to the Certificate of Incorporation of Ocean Power Technologies, Inc. filed with the Secretary of State of the State of Delaware on January 27, 2026 (incorporated by reference to Exhibit 3.1 to the Current Report on Form 8-K filed with the Securities and Exchange Commission by Ocean Power Technologies, Inc. on January 28,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9629" w:type="dxa"/>
            <w:tcBorders/>
            <w:vAlign w:val="center"/>
          </w:tcPr>
          <w:p>
            <w:pPr>
              <w:pStyle w:val="TableContents"/>
              <w:bidi w:val="0"/>
              <w:spacing w:before="0" w:after="283"/>
              <w:jc w:val="both"/>
              <w:rPr/>
            </w:pPr>
            <w:hyperlink r:id="rId47">
              <w:r>
                <w:rPr>
                  <w:rStyle w:val="InternetLink"/>
                  <w:rFonts w:ascii="Times New Roman;Times;Serif" w:hAnsi="Times New Roman;Times;Serif"/>
                  <w:b w:val="false"/>
                  <w:i w:val="false"/>
                  <w:caps w:val="false"/>
                  <w:smallCaps w:val="false"/>
                  <w:sz w:val="20"/>
                </w:rPr>
                <w:t>Amended and Restated Certificate of Designations of Series A Participating Preferred Stock of Ocean Power Technologies, Inc. (incorporated by reference to Exhibit 3.1 to the Current Report on Form 8-K filed by Ocean Power Technologies, Inc. with the Securities and Exchange Commission on June 29,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3.10 </w:t>
            </w:r>
          </w:p>
        </w:tc>
        <w:tc>
          <w:tcPr>
            <w:tcW w:w="7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629" w:type="dxa"/>
            <w:tcBorders/>
            <w:vAlign w:val="center"/>
          </w:tcPr>
          <w:p>
            <w:pPr>
              <w:pStyle w:val="TableContents"/>
              <w:bidi w:val="0"/>
              <w:spacing w:before="0" w:after="283"/>
              <w:jc w:val="both"/>
              <w:rPr/>
            </w:pPr>
            <w:hyperlink r:id="rId48">
              <w:r>
                <w:rPr>
                  <w:rStyle w:val="InternetLink"/>
                  <w:rFonts w:ascii="Times New Roman;Times;Serif" w:hAnsi="Times New Roman;Times;Serif"/>
                  <w:b w:val="false"/>
                  <w:i w:val="false"/>
                  <w:caps w:val="false"/>
                  <w:smallCaps w:val="false"/>
                  <w:sz w:val="20"/>
                </w:rPr>
                <w:t>Certificate of Amendment to the Certificate of Incorporation of Ocean Power Technologies, Inc. filed with the Secretary of State of the State of Delaware on September 11, 2026 (incorporated by reference to Exhibit 3.1 to the Current Report on Form 8-K filed with the Securities and Exchange Commission by Ocean Power Technologies, Inc. on September 11, 2026).</w:t>
              </w:r>
            </w:hyperlink>
            <w:r>
              <w:rPr>
                <w:rFonts w:ascii="Times New Roman;Times;Serif" w:hAnsi="Times New Roman;Times;Serif"/>
                <w:b w:val="false"/>
                <w:i w:val="false"/>
                <w:caps w:val="false"/>
                <w:smallCaps w:val="false"/>
                <w:sz w:val="20"/>
              </w:rPr>
              <w:t xml:space="preserve">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9629" w:type="dxa"/>
            <w:tcBorders/>
            <w:vAlign w:val="center"/>
          </w:tcPr>
          <w:p>
            <w:pPr>
              <w:pStyle w:val="TableContents"/>
              <w:bidi w:val="0"/>
              <w:spacing w:before="0" w:after="283"/>
              <w:jc w:val="both"/>
              <w:rPr/>
            </w:pPr>
            <w:hyperlink r:id="rId49">
              <w:r>
                <w:rPr>
                  <w:rStyle w:val="InternetLink"/>
                  <w:rFonts w:ascii="Times New Roman;Times;Serif" w:hAnsi="Times New Roman;Times;Serif"/>
                  <w:b w:val="false"/>
                  <w:i w:val="false"/>
                  <w:caps w:val="false"/>
                  <w:smallCaps w:val="false"/>
                  <w:sz w:val="20"/>
                </w:rPr>
                <w:t>Amended and Restated Bylaws of the Company (incorporated by reference to Exhibit 3.1 to the Company’s Current Report on Form 8-K filed on July 5, 2024).</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9629" w:type="dxa"/>
            <w:tcBorders/>
            <w:vAlign w:val="center"/>
          </w:tcPr>
          <w:p>
            <w:pPr>
              <w:pStyle w:val="TableContents"/>
              <w:bidi w:val="0"/>
              <w:spacing w:before="0" w:after="283"/>
              <w:jc w:val="both"/>
              <w:rPr/>
            </w:pPr>
            <w:hyperlink r:id="rId50">
              <w:r>
                <w:rPr>
                  <w:rStyle w:val="InternetLink"/>
                  <w:rFonts w:ascii="Times New Roman;Times;Serif" w:hAnsi="Times New Roman;Times;Serif"/>
                  <w:b w:val="false"/>
                  <w:i w:val="false"/>
                  <w:caps w:val="false"/>
                  <w:smallCaps w:val="false"/>
                  <w:sz w:val="20"/>
                </w:rPr>
                <w:t>Specimen certificate of Common Stock (incorporated by reference to Exhibit 4.1 to the Registrant’s Annual Report on Form 10-K filed on July 28,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9629" w:type="dxa"/>
            <w:tcBorders/>
            <w:vAlign w:val="center"/>
          </w:tcPr>
          <w:p>
            <w:pPr>
              <w:pStyle w:val="TableContents"/>
              <w:bidi w:val="0"/>
              <w:spacing w:before="0" w:after="283"/>
              <w:jc w:val="both"/>
              <w:rPr/>
            </w:pPr>
            <w:hyperlink r:id="rId51">
              <w:r>
                <w:rPr>
                  <w:rStyle w:val="InternetLink"/>
                  <w:rFonts w:ascii="Times New Roman;Times;Serif" w:hAnsi="Times New Roman;Times;Serif"/>
                  <w:b w:val="false"/>
                  <w:i w:val="false"/>
                  <w:caps w:val="false"/>
                  <w:smallCaps w:val="false"/>
                  <w:sz w:val="20"/>
                </w:rPr>
                <w:t>Form of Warrant to Purchase Common Stock (incorporated by reference from Exhibit 4.1 to Current Report on Form 8-K filed on June 8,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9629" w:type="dxa"/>
            <w:tcBorders/>
            <w:vAlign w:val="center"/>
          </w:tcPr>
          <w:p>
            <w:pPr>
              <w:pStyle w:val="TableContents"/>
              <w:bidi w:val="0"/>
              <w:spacing w:before="0" w:after="283"/>
              <w:jc w:val="both"/>
              <w:rPr/>
            </w:pPr>
            <w:hyperlink r:id="rId52">
              <w:r>
                <w:rPr>
                  <w:rStyle w:val="InternetLink"/>
                  <w:rFonts w:ascii="Times New Roman;Times;Serif" w:hAnsi="Times New Roman;Times;Serif"/>
                  <w:b w:val="false"/>
                  <w:i w:val="false"/>
                  <w:caps w:val="false"/>
                  <w:smallCaps w:val="false"/>
                  <w:sz w:val="20"/>
                </w:rPr>
                <w:t>Description of Company Securities (incorporated by reference to Exhibit 4.3 to the Company’s Annual Report on Form 10-K filed on August 19,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9629" w:type="dxa"/>
            <w:tcBorders/>
            <w:vAlign w:val="center"/>
          </w:tcPr>
          <w:p>
            <w:pPr>
              <w:pStyle w:val="TableContents"/>
              <w:bidi w:val="0"/>
              <w:spacing w:before="0" w:after="283"/>
              <w:jc w:val="both"/>
              <w:rPr/>
            </w:pPr>
            <w:hyperlink r:id="rId53">
              <w:r>
                <w:rPr>
                  <w:rStyle w:val="InternetLink"/>
                  <w:rFonts w:ascii="Times New Roman;Times;Serif" w:hAnsi="Times New Roman;Times;Serif"/>
                  <w:b w:val="false"/>
                  <w:i w:val="false"/>
                  <w:caps w:val="false"/>
                  <w:smallCaps w:val="false"/>
                  <w:sz w:val="20"/>
                </w:rPr>
                <w:t>Amended and Restated Section 382 Tax Benefits Preservation Plan, dated as of June 29, 2026, by and between Ocean Power Technologies, Inc. and Computershare Trust Company, N.A., as Rights Agent (incorporated by reference to Exhibit 4.1 to the Current Report on Form 8-K filed by Ocean Power Technologies, Inc. with the Securities and Exchange Commission on June 29,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9629" w:type="dxa"/>
            <w:tcBorders/>
            <w:vAlign w:val="center"/>
          </w:tcPr>
          <w:p>
            <w:pPr>
              <w:pStyle w:val="TableContents"/>
              <w:bidi w:val="0"/>
              <w:spacing w:before="0" w:after="283"/>
              <w:jc w:val="both"/>
              <w:rPr/>
            </w:pPr>
            <w:hyperlink r:id="rId54">
              <w:r>
                <w:rPr>
                  <w:rStyle w:val="InternetLink"/>
                  <w:rFonts w:ascii="Times New Roman;Times;Serif" w:hAnsi="Times New Roman;Times;Serif"/>
                  <w:b w:val="false"/>
                  <w:i w:val="false"/>
                  <w:caps w:val="false"/>
                  <w:smallCaps w:val="false"/>
                  <w:sz w:val="20"/>
                </w:rPr>
                <w:t xml:space="preserve">Opinion of Porter Hedges LLP.***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9629" w:type="dxa"/>
            <w:tcBorders/>
            <w:vAlign w:val="center"/>
          </w:tcPr>
          <w:p>
            <w:pPr>
              <w:pStyle w:val="TableContents"/>
              <w:bidi w:val="0"/>
              <w:spacing w:before="0" w:after="283"/>
              <w:jc w:val="both"/>
              <w:rPr/>
            </w:pPr>
            <w:hyperlink r:id="rId55">
              <w:r>
                <w:rPr>
                  <w:rStyle w:val="InternetLink"/>
                  <w:rFonts w:ascii="Times New Roman;Times;Serif" w:hAnsi="Times New Roman;Times;Serif"/>
                  <w:b w:val="false"/>
                  <w:i w:val="false"/>
                  <w:caps w:val="false"/>
                  <w:smallCaps w:val="false"/>
                  <w:sz w:val="20"/>
                </w:rPr>
                <w:t>Amended and Restated 2006 Stock Incentive Plan (incorporated by reference from Exhibit A to Proxy Statement filed August 28, 2013).*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9629" w:type="dxa"/>
            <w:tcBorders/>
            <w:vAlign w:val="center"/>
          </w:tcPr>
          <w:p>
            <w:pPr>
              <w:pStyle w:val="TableContents"/>
              <w:bidi w:val="0"/>
              <w:spacing w:before="0" w:after="283"/>
              <w:jc w:val="both"/>
              <w:rPr/>
            </w:pPr>
            <w:hyperlink r:id="rId56">
              <w:r>
                <w:rPr>
                  <w:rStyle w:val="InternetLink"/>
                  <w:rFonts w:ascii="Times New Roman;Times;Serif" w:hAnsi="Times New Roman;Times;Serif"/>
                  <w:b w:val="false"/>
                  <w:i w:val="false"/>
                  <w:caps w:val="false"/>
                  <w:smallCaps w:val="false"/>
                  <w:sz w:val="20"/>
                </w:rPr>
                <w:t>Form of Restricted Stock Agreement Unit (incorporated by reference from Exhibit 10.1 to Form 10-Q filed March 14, 2011).*</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9629" w:type="dxa"/>
            <w:tcBorders/>
            <w:vAlign w:val="center"/>
          </w:tcPr>
          <w:p>
            <w:pPr>
              <w:pStyle w:val="TableContents"/>
              <w:bidi w:val="0"/>
              <w:spacing w:before="0" w:after="283"/>
              <w:jc w:val="both"/>
              <w:rPr/>
            </w:pPr>
            <w:hyperlink r:id="rId57">
              <w:r>
                <w:rPr>
                  <w:rStyle w:val="InternetLink"/>
                  <w:rFonts w:ascii="Times New Roman;Times;Serif" w:hAnsi="Times New Roman;Times;Serif"/>
                  <w:b w:val="false"/>
                  <w:i w:val="false"/>
                  <w:caps w:val="false"/>
                  <w:smallCaps w:val="false"/>
                  <w:sz w:val="20"/>
                </w:rPr>
                <w:t>2015 Omnibus Incentive Plan* (incorporated by reference to Annex A to Proxy Statement filed on September 3, 2015).</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9629" w:type="dxa"/>
            <w:tcBorders/>
            <w:vAlign w:val="center"/>
          </w:tcPr>
          <w:p>
            <w:pPr>
              <w:pStyle w:val="TableContents"/>
              <w:bidi w:val="0"/>
              <w:spacing w:before="0" w:after="283"/>
              <w:jc w:val="both"/>
              <w:rPr/>
            </w:pPr>
            <w:hyperlink r:id="rId58">
              <w:r>
                <w:rPr>
                  <w:rStyle w:val="InternetLink"/>
                  <w:rFonts w:ascii="Times New Roman;Times;Serif" w:hAnsi="Times New Roman;Times;Serif"/>
                  <w:b w:val="false"/>
                  <w:i w:val="false"/>
                  <w:caps w:val="false"/>
                  <w:smallCaps w:val="false"/>
                  <w:sz w:val="20"/>
                </w:rPr>
                <w:t>Ocean Power Technologies, Inc. Employment Inducement Incentive Award Plan (incorporated by reference to Exhibit 10.1 to Form 8-K filed with the SEC on January 19, 2018).*</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9629" w:type="dxa"/>
            <w:tcBorders/>
            <w:vAlign w:val="center"/>
          </w:tcPr>
          <w:p>
            <w:pPr>
              <w:pStyle w:val="TableContents"/>
              <w:bidi w:val="0"/>
              <w:spacing w:before="0" w:after="283"/>
              <w:jc w:val="both"/>
              <w:rPr/>
            </w:pPr>
            <w:hyperlink r:id="rId59">
              <w:r>
                <w:rPr>
                  <w:rStyle w:val="InternetLink"/>
                  <w:rFonts w:ascii="Times New Roman;Times;Serif" w:hAnsi="Times New Roman;Times;Serif"/>
                  <w:b w:val="false"/>
                  <w:i w:val="false"/>
                  <w:caps w:val="false"/>
                  <w:smallCaps w:val="false"/>
                  <w:sz w:val="20"/>
                </w:rPr>
                <w:t>Form of Restricted Stock Unit Agreement for Employment Inducement Incentive Award Plan (incorporated by reference to Exhibit 10.2 to Form 8-K filed with the SEC on January 19, 2018).*</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9629" w:type="dxa"/>
            <w:tcBorders/>
            <w:vAlign w:val="center"/>
          </w:tcPr>
          <w:p>
            <w:pPr>
              <w:pStyle w:val="TableContents"/>
              <w:bidi w:val="0"/>
              <w:spacing w:before="0" w:after="283"/>
              <w:jc w:val="both"/>
              <w:rPr/>
            </w:pPr>
            <w:hyperlink r:id="rId60">
              <w:r>
                <w:rPr>
                  <w:rStyle w:val="InternetLink"/>
                  <w:rFonts w:ascii="Times New Roman;Times;Serif" w:hAnsi="Times New Roman;Times;Serif"/>
                  <w:b w:val="false"/>
                  <w:i w:val="false"/>
                  <w:caps w:val="false"/>
                  <w:smallCaps w:val="false"/>
                  <w:sz w:val="20"/>
                </w:rPr>
                <w:t>Contract between Eni S.p.A. and the Company dated March 14, 2018 (incorporated by reference to Exhibit 10.1 to Form 8-K filed with the SEC on March 19, 2018).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9629" w:type="dxa"/>
            <w:tcBorders/>
            <w:vAlign w:val="center"/>
          </w:tcPr>
          <w:p>
            <w:pPr>
              <w:pStyle w:val="TableContents"/>
              <w:bidi w:val="0"/>
              <w:spacing w:before="0" w:after="283"/>
              <w:jc w:val="both"/>
              <w:rPr/>
            </w:pPr>
            <w:hyperlink r:id="rId61">
              <w:r>
                <w:rPr>
                  <w:rStyle w:val="InternetLink"/>
                  <w:rFonts w:ascii="Times New Roman;Times;Serif" w:hAnsi="Times New Roman;Times;Serif"/>
                  <w:b w:val="false"/>
                  <w:i w:val="false"/>
                  <w:caps w:val="false"/>
                  <w:smallCaps w:val="false"/>
                  <w:sz w:val="20"/>
                </w:rPr>
                <w:t>Contract between Harbour Energy UK Limited and the Company dated June 27, 2018 (incorporated by reference to Exhibit 10.27 to Form 10-K filed with the SEC on July 17, 2018).+</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9629" w:type="dxa"/>
            <w:tcBorders/>
            <w:vAlign w:val="center"/>
          </w:tcPr>
          <w:p>
            <w:pPr>
              <w:pStyle w:val="TableContents"/>
              <w:bidi w:val="0"/>
              <w:spacing w:before="0" w:after="283"/>
              <w:jc w:val="both"/>
              <w:rPr/>
            </w:pPr>
            <w:hyperlink r:id="rId62">
              <w:r>
                <w:rPr>
                  <w:rStyle w:val="InternetLink"/>
                  <w:rFonts w:ascii="Times New Roman;Times;Serif" w:hAnsi="Times New Roman;Times;Serif"/>
                  <w:b w:val="false"/>
                  <w:i w:val="false"/>
                  <w:caps w:val="false"/>
                  <w:smallCaps w:val="false"/>
                  <w:sz w:val="20"/>
                </w:rPr>
                <w:t>Amendment to the Employment Agreement of George H. Kirby III (incorporated by reference to Exhibit 10.2 to Form 8-K filed with the SEC on July 18, 2018).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9629" w:type="dxa"/>
            <w:tcBorders/>
            <w:vAlign w:val="center"/>
          </w:tcPr>
          <w:p>
            <w:pPr>
              <w:pStyle w:val="TableContents"/>
              <w:bidi w:val="0"/>
              <w:spacing w:before="0" w:after="283"/>
              <w:jc w:val="both"/>
              <w:rPr/>
            </w:pPr>
            <w:hyperlink r:id="rId63">
              <w:r>
                <w:rPr>
                  <w:rStyle w:val="InternetLink"/>
                  <w:rFonts w:ascii="Times New Roman;Times;Serif" w:hAnsi="Times New Roman;Times;Serif"/>
                  <w:b w:val="false"/>
                  <w:i w:val="false"/>
                  <w:caps w:val="false"/>
                  <w:smallCaps w:val="false"/>
                  <w:sz w:val="20"/>
                </w:rPr>
                <w:t>Contract between U.S. Navy and the Company dated February 11, 2019 (incorporated by reference to Exhibit 10.2 to Form 10-Q filed with the SEC on March 11, 2019).</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9629" w:type="dxa"/>
            <w:tcBorders/>
            <w:vAlign w:val="center"/>
          </w:tcPr>
          <w:p>
            <w:pPr>
              <w:pStyle w:val="TableContents"/>
              <w:bidi w:val="0"/>
              <w:spacing w:before="0" w:after="283"/>
              <w:jc w:val="both"/>
              <w:rPr/>
            </w:pPr>
            <w:hyperlink r:id="rId64">
              <w:r>
                <w:rPr>
                  <w:rStyle w:val="InternetLink"/>
                  <w:rFonts w:ascii="Times New Roman;Times;Serif" w:hAnsi="Times New Roman;Times;Serif"/>
                  <w:b w:val="false"/>
                  <w:i w:val="false"/>
                  <w:caps w:val="false"/>
                  <w:smallCaps w:val="false"/>
                  <w:sz w:val="20"/>
                </w:rPr>
                <w:t>Contract amendment between Harbour Energy UK Limited and the Company dated June 24, 2019 (incorporated by reference to Exhibit 10.1 to Form 8-K filed with the SEC on June 25, 2019).+</w:t>
              </w:r>
            </w:hyperlink>
          </w:p>
        </w:tc>
      </w:tr>
    </w:tbl>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5">
              <w:r>
                <w:rPr>
                  <w:rStyle w:val="InternetLink"/>
                  <w:rFonts w:ascii="Times New Roman;Times;Serif" w:hAnsi="Times New Roman;Times;Serif"/>
                  <w:b w:val="false"/>
                  <w:i w:val="false"/>
                  <w:caps w:val="false"/>
                  <w:smallCaps w:val="false"/>
                  <w:sz w:val="20"/>
                </w:rPr>
                <w:t>Lease Agreement dated March 31, 2017 between Ocean Power Technologies, Inc. and PPH Industrial 28 Engelhard, LLC (incorporated by reference from Exhibit 10.37 to the Company’s Annual Report on Form 10-K filed with the SEC on July 22, 2019).</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6">
              <w:r>
                <w:rPr>
                  <w:rStyle w:val="InternetLink"/>
                  <w:rFonts w:ascii="Times New Roman;Times;Serif" w:hAnsi="Times New Roman;Times;Serif"/>
                  <w:b w:val="false"/>
                  <w:i w:val="false"/>
                  <w:caps w:val="false"/>
                  <w:smallCaps w:val="false"/>
                  <w:sz w:val="20"/>
                </w:rPr>
                <w:t>Supply and Service Contract between the Company and Empresa Electrica Panguipulli S.A. dated September 19, 2019 (incorporated by reference from Exhibit 10.1 to Current Report on Form 8-K filed on September 23, 2019).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7">
              <w:r>
                <w:rPr>
                  <w:rStyle w:val="InternetLink"/>
                  <w:rFonts w:ascii="Times New Roman;Times;Serif" w:hAnsi="Times New Roman;Times;Serif"/>
                  <w:b w:val="false"/>
                  <w:i w:val="false"/>
                  <w:caps w:val="false"/>
                  <w:smallCaps w:val="false"/>
                  <w:sz w:val="20"/>
                </w:rPr>
                <w:t>Supply and Service Contract between the Company and Enel Green Power Chile LTDA dated September 19, 2019 (incorporated by reference from Exhibit 10.2 to Current Report on Form 8-K filed on September 23, 2019).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8">
              <w:r>
                <w:rPr>
                  <w:rStyle w:val="InternetLink"/>
                  <w:rFonts w:ascii="Times New Roman;Times;Serif" w:hAnsi="Times New Roman;Times;Serif"/>
                  <w:b w:val="false"/>
                  <w:i w:val="false"/>
                  <w:caps w:val="false"/>
                  <w:smallCaps w:val="false"/>
                  <w:sz w:val="20"/>
                </w:rPr>
                <w:t>Contract amendment between Eni s.P.a. and the Company dated February 28, 2020 (incorporated by reference from Exhibit 10.1 to the Company’s Quarterly Report on Form 10-Q filed on March 9, 2020).</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9">
              <w:r>
                <w:rPr>
                  <w:rStyle w:val="InternetLink"/>
                  <w:rFonts w:ascii="Times New Roman;Times;Serif" w:hAnsi="Times New Roman;Times;Serif"/>
                  <w:b w:val="false"/>
                  <w:i w:val="false"/>
                  <w:caps w:val="false"/>
                  <w:smallCaps w:val="false"/>
                  <w:sz w:val="20"/>
                </w:rPr>
                <w:t>Subcontract between Ocean Power Technologies, Inc. and Adams Communication &amp; Engineering Technology Inc. dated effective October 20, 2020 (incorporated by reference from Exhibit 10.1 to the Company’s Current Report on Form 8-K filed on October 27, 2020).</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0">
              <w:r>
                <w:rPr>
                  <w:rStyle w:val="InternetLink"/>
                  <w:rFonts w:ascii="Times New Roman;Times;Serif" w:hAnsi="Times New Roman;Times;Serif"/>
                  <w:b w:val="false"/>
                  <w:i w:val="false"/>
                  <w:caps w:val="false"/>
                  <w:smallCaps w:val="false"/>
                  <w:sz w:val="20"/>
                </w:rPr>
                <w:t>Stock Purchase Agreement among Ocean Power Technologies, Inc. and the sellers named therein dated November 15, 2021 (incorporated by reference to Exhibit 10.1 to the Company’s Current Report on Form 8-K filed on November 16, 2021).</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1">
              <w:r>
                <w:rPr>
                  <w:rStyle w:val="InternetLink"/>
                  <w:rFonts w:ascii="Times New Roman;Times;Serif" w:hAnsi="Times New Roman;Times;Serif"/>
                  <w:b w:val="false"/>
                  <w:i w:val="false"/>
                  <w:caps w:val="false"/>
                  <w:smallCaps w:val="false"/>
                  <w:sz w:val="20"/>
                </w:rPr>
                <w:t>Employment Letter between the Company and Robert P. Powers dated effective December 13, 2021* (incorporated by reference to Exhibit 10.1 to the Company’s Current Report on Form 8-K filed on December 13, 2021).</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"https://www.sec.gov/Archives/edgar/data/1378140/000149315221025554/def14a.htm" \l "ed_009"</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Fifth Amendment to 2015 Omnibus Incentive Plan (incorporated by reference to Annex A to Proxy Statement filed on October 15, 2021).</w:t>
            </w:r>
            <w:r>
              <w:rPr>
                <w:rStyle w:val="InternetLink"/>
                <w:smallCaps w:val="false"/>
                <w:caps w:val="false"/>
                <w:sz w:val="20"/>
                <w:i w:val="false"/>
                <w:b w:val="false"/>
                <w:rFonts w:ascii="Times New Roman;Times;Serif" w:hAnsi="Times New Roman;Times;Serif"/>
              </w:rPr>
              <w:fldChar w:fldCharType="end"/>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2">
              <w:r>
                <w:rPr>
                  <w:rStyle w:val="InternetLink"/>
                  <w:rFonts w:ascii="Times New Roman;Times;Serif" w:hAnsi="Times New Roman;Times;Serif"/>
                  <w:b w:val="false"/>
                  <w:i w:val="false"/>
                  <w:caps w:val="false"/>
                  <w:smallCaps w:val="false"/>
                  <w:sz w:val="20"/>
                </w:rPr>
                <w:t>First Amendment to the Employment Inducement Incentive Award Plan (incorporated by reference to Exhibit 10.1 to the Company’s Current Report on Form 8-K filed on February 11, 2022).</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"https://www.sec.gov/Archives/edgar/data/1378140/000149315222028878/formdef14a.htm" \l "ak_006"</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Sixth Amendment to the 2015 Omnibus Incentive Plan (incorporated by reference to Annex A to Proxy Statement filed on October 19, 2022).</w:t>
            </w:r>
            <w:r>
              <w:rPr>
                <w:rStyle w:val="InternetLink"/>
                <w:smallCaps w:val="false"/>
                <w:caps w:val="false"/>
                <w:sz w:val="20"/>
                <w:i w:val="false"/>
                <w:b w:val="false"/>
                <w:rFonts w:ascii="Times New Roman;Times;Serif" w:hAnsi="Times New Roman;Times;Serif"/>
              </w:rPr>
              <w:fldChar w:fldCharType="end"/>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3">
              <w:r>
                <w:rPr>
                  <w:rStyle w:val="InternetLink"/>
                  <w:rFonts w:ascii="Times New Roman;Times;Serif" w:hAnsi="Times New Roman;Times;Serif"/>
                  <w:b w:val="false"/>
                  <w:i w:val="false"/>
                  <w:caps w:val="false"/>
                  <w:smallCaps w:val="false"/>
                  <w:sz w:val="20"/>
                </w:rPr>
                <w:t>Form of Restricted Stock Unit Agreement for Non-Directors (incorporated by reference to Exhibit 10.1 to the Company’s Quarterly Report on Form 10-Q filed on March 13,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4">
              <w:r>
                <w:rPr>
                  <w:rStyle w:val="InternetLink"/>
                  <w:rFonts w:ascii="Times New Roman;Times;Serif" w:hAnsi="Times New Roman;Times;Serif"/>
                  <w:b w:val="false"/>
                  <w:i w:val="false"/>
                  <w:caps w:val="false"/>
                  <w:smallCaps w:val="false"/>
                  <w:sz w:val="20"/>
                </w:rPr>
                <w:t>Form of Restricted Stock Unit Agreement for Directors (incorporated by reference to Exhibit 10.2 to the Company’s Quarterly Report on Form 10-Q filed on March 13,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5">
              <w:r>
                <w:rPr>
                  <w:rStyle w:val="InternetLink"/>
                  <w:rFonts w:ascii="Times New Roman;Times;Serif" w:hAnsi="Times New Roman;Times;Serif"/>
                  <w:b w:val="false"/>
                  <w:i w:val="false"/>
                  <w:caps w:val="false"/>
                  <w:smallCaps w:val="false"/>
                  <w:sz w:val="20"/>
                </w:rPr>
                <w:t>Form of Non-Qualified Stock Option Agreement (incorporated by reference to Exhibit 10.3 to the Company’s Quarterly Report on Form 10-Q filed on March 13,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6">
              <w:r>
                <w:rPr>
                  <w:rStyle w:val="InternetLink"/>
                  <w:rFonts w:ascii="Times New Roman;Times;Serif" w:hAnsi="Times New Roman;Times;Serif"/>
                  <w:b w:val="false"/>
                  <w:i w:val="false"/>
                  <w:caps w:val="false"/>
                  <w:smallCaps w:val="false"/>
                  <w:sz w:val="20"/>
                </w:rPr>
                <w:t>Contract for Commercial Items between the Company and the National Oceanic and Atmospheric Administration dated September 1, 2023 (incorporated by reference to Exhibit 10.1 to the Company’s Quarterly Report on Form 10-Q filed on December 13,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7">
              <w:r>
                <w:rPr>
                  <w:rStyle w:val="InternetLink"/>
                  <w:rFonts w:ascii="Times New Roman;Times;Serif" w:hAnsi="Times New Roman;Times;Serif"/>
                  <w:b w:val="false"/>
                  <w:i w:val="false"/>
                  <w:caps w:val="false"/>
                  <w:smallCaps w:val="false"/>
                  <w:sz w:val="20"/>
                </w:rPr>
                <w:t>Contract for Commercial Items between the Company and the National Oceanic and Atmospheric Administration dated September 1, 2023 (incorporated by reference to Exhibit 10.2 to the Company’s Quarterly Report on Form 10-Q filed on December 13,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8">
              <w:r>
                <w:rPr>
                  <w:rStyle w:val="InternetLink"/>
                  <w:rFonts w:ascii="Times New Roman;Times;Serif" w:hAnsi="Times New Roman;Times;Serif"/>
                  <w:b w:val="false"/>
                  <w:i w:val="false"/>
                  <w:caps w:val="false"/>
                  <w:smallCaps w:val="false"/>
                  <w:sz w:val="20"/>
                </w:rPr>
                <w:t>Contract for Commercial Items between the Company and the National Oceanic and Atmospheric Administration dated September 1, 2023 (incorporated by reference to Exhibit 10.1 to the Company’s Quarterly Report on Form 10-Q filed on December 13,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9">
              <w:r>
                <w:rPr>
                  <w:rStyle w:val="InternetLink"/>
                  <w:rFonts w:ascii="Times New Roman;Times;Serif" w:hAnsi="Times New Roman;Times;Serif"/>
                  <w:b w:val="false"/>
                  <w:i w:val="false"/>
                  <w:caps w:val="false"/>
                  <w:smallCaps w:val="false"/>
                  <w:sz w:val="20"/>
                </w:rPr>
                <w:t>Sales Agreement between the Company and A.G.P./Alliance Global Partners dated March 21, 2024 (incorporated by reference to Exhibit 10.1 to the Company’s Current Report on Form 8-K filed on March 21, 2024).</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80">
              <w:r>
                <w:rPr>
                  <w:rStyle w:val="InternetLink"/>
                  <w:rFonts w:ascii="Times New Roman;Times;Serif" w:hAnsi="Times New Roman;Times;Serif"/>
                  <w:b w:val="false"/>
                  <w:i w:val="false"/>
                  <w:caps w:val="false"/>
                  <w:smallCaps w:val="false"/>
                  <w:sz w:val="20"/>
                </w:rPr>
                <w:t>Form of Amended and Restated Common Stock Purchase Agreement, dated as of September 19, 2024 (incorporated by reference to Exhibit 10.1 to the Company’s Current Report on Form 8-K filed on September 20, 2024.</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81">
              <w:r>
                <w:rPr>
                  <w:rStyle w:val="InternetLink"/>
                  <w:rFonts w:ascii="Times New Roman;Times;Serif" w:hAnsi="Times New Roman;Times;Serif"/>
                  <w:b w:val="false"/>
                  <w:i w:val="false"/>
                  <w:caps w:val="false"/>
                  <w:smallCaps w:val="false"/>
                  <w:sz w:val="20"/>
                </w:rPr>
                <w:t>Form of Securities Purchase Agreement, dated as of September 13, 2024 (incorporated by reference to Exhibit 10.2 to the Company’s Quarterly Report on Form 10-Q filed on September 16, 2024).</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82">
              <w:r>
                <w:rPr>
                  <w:rStyle w:val="InternetLink"/>
                  <w:rFonts w:ascii="Times New Roman;Times;Serif" w:hAnsi="Times New Roman;Times;Serif"/>
                  <w:b w:val="false"/>
                  <w:i w:val="false"/>
                  <w:caps w:val="false"/>
                  <w:smallCaps w:val="false"/>
                  <w:sz w:val="20"/>
                </w:rPr>
                <w:t>Employment Agreement between the Company and Tracy Pagliara dated effective January 16, 2025 (incorporated by reference to Exhibit 10.1 to the Company’s Current Report on Form 8-K filed on January 21, 2025).</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83">
              <w:r>
                <w:rPr>
                  <w:rStyle w:val="InternetLink"/>
                  <w:rFonts w:ascii="Times New Roman;Times;Serif" w:hAnsi="Times New Roman;Times;Serif"/>
                  <w:b w:val="false"/>
                  <w:i w:val="false"/>
                  <w:caps w:val="false"/>
                  <w:smallCaps w:val="false"/>
                  <w:sz w:val="20"/>
                </w:rPr>
                <w:t>Second Amendment to Ocean Power Technologies, Inc. Employment Inducement Incentive Award Plan dated June 3, 2025 (incorporated by reference to Exhibit 10.1 to the Company’s Current Report on Form 8-K filed on June 4, 2025).</w:t>
              </w:r>
            </w:hyperlink>
          </w:p>
        </w:tc>
      </w:tr>
    </w:tbl>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84">
              <w:r>
                <w:rPr>
                  <w:rStyle w:val="InternetLink"/>
                  <w:rFonts w:ascii="Times New Roman;Times;Serif" w:hAnsi="Times New Roman;Times;Serif"/>
                  <w:b w:val="false"/>
                  <w:i w:val="false"/>
                  <w:caps w:val="false"/>
                  <w:smallCaps w:val="false"/>
                  <w:sz w:val="20"/>
                </w:rPr>
                <w:t>At Market Issuance Sales Agreement, dated August 8, 2025, by and between Ocean Power Technologies, Inc. and Ladenburg Thalmann &amp; Co. Inc. (incorporated by reference to Exhibit 10.1 to the Company’s Current Report on Form 8-K filed on August 8, 2025).</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85">
              <w:r>
                <w:rPr>
                  <w:rStyle w:val="InternetLink"/>
                  <w:rFonts w:ascii="Times New Roman;Times;Serif" w:hAnsi="Times New Roman;Times;Serif"/>
                  <w:b w:val="false"/>
                  <w:i w:val="false"/>
                  <w:caps w:val="false"/>
                  <w:smallCaps w:val="false"/>
                  <w:sz w:val="20"/>
                </w:rPr>
                <w:t>Third Amendment to Ocean Power Technologies, Inc. Employment Inducement Incentive Award Plan (incorporated by reference to Exhibit 10.1 to the Company’s Current Report on Form 8-K filed on January 28,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86">
              <w:r>
                <w:rPr>
                  <w:rStyle w:val="InternetLink"/>
                  <w:rFonts w:ascii="Times New Roman;Times;Serif" w:hAnsi="Times New Roman;Times;Serif"/>
                  <w:b w:val="false"/>
                  <w:i w:val="false"/>
                  <w:caps w:val="false"/>
                  <w:smallCaps w:val="false"/>
                  <w:sz w:val="20"/>
                </w:rPr>
                <w:t>First Amendment to Amended &amp; Restated 2015 Omnibus Incentive Plan (incorporated by reference to Exhibit A to the Company’s Definitive Proxy Statement on Schedule 14A filed on December 4, 2025).</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87">
              <w:r>
                <w:rPr>
                  <w:rStyle w:val="InternetLink"/>
                  <w:rFonts w:ascii="Times New Roman;Times;Serif" w:hAnsi="Times New Roman;Times;Serif"/>
                  <w:b w:val="false"/>
                  <w:i w:val="false"/>
                  <w:caps w:val="false"/>
                  <w:smallCaps w:val="false"/>
                  <w:sz w:val="20"/>
                </w:rPr>
                <w:t>Securities Purchase Agreement dated April 1, 2026 between Ocean Power Technologies, Inc. and the investors party thereto (incorporated by reference to Exhibit 10.1 to the Company’s Current Report on Form 8-K filed on April 1,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88">
              <w:r>
                <w:rPr>
                  <w:rStyle w:val="InternetLink"/>
                  <w:rFonts w:ascii="Times New Roman;Times;Serif" w:hAnsi="Times New Roman;Times;Serif"/>
                  <w:b w:val="false"/>
                  <w:i w:val="false"/>
                  <w:caps w:val="false"/>
                  <w:smallCaps w:val="false"/>
                  <w:sz w:val="20"/>
                </w:rPr>
                <w:t>Form of Series C-1 Convertible Note dated April 1, 2026 issued by Ocean Power Technologies, Inc. to the holder (incorporated by reference to Exhibit 10.2 to the Company’s Current Report on Form 8-K filed on April 1,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89">
              <w:r>
                <w:rPr>
                  <w:rStyle w:val="InternetLink"/>
                  <w:rFonts w:ascii="Times New Roman;Times;Serif" w:hAnsi="Times New Roman;Times;Serif"/>
                  <w:b w:val="false"/>
                  <w:i w:val="false"/>
                  <w:caps w:val="false"/>
                  <w:smallCaps w:val="false"/>
                  <w:sz w:val="20"/>
                </w:rPr>
                <w:t>Form of Securities Purchase Agreement dated June 4, 2026 (incorporated by reference to Exhibit 10.1 to the Company’s Current Report on Form 8-K filed on June 8,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90">
              <w:r>
                <w:rPr>
                  <w:rStyle w:val="InternetLink"/>
                  <w:rFonts w:ascii="Times New Roman;Times;Serif" w:hAnsi="Times New Roman;Times;Serif"/>
                  <w:b w:val="false"/>
                  <w:i w:val="false"/>
                  <w:caps w:val="false"/>
                  <w:smallCaps w:val="false"/>
                  <w:sz w:val="20"/>
                </w:rPr>
                <w:t>Company Insider Trading Policy (incorporated by reference to Exhibit 19.1 to the Company’s Annual Report on Form 10-K filed on August 19,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91">
              <w:r>
                <w:rPr>
                  <w:rStyle w:val="InternetLink"/>
                  <w:rFonts w:ascii="Times New Roman;Times;Serif" w:hAnsi="Times New Roman;Times;Serif"/>
                  <w:b w:val="false"/>
                  <w:i w:val="false"/>
                  <w:caps w:val="false"/>
                  <w:smallCaps w:val="false"/>
                  <w:sz w:val="20"/>
                </w:rPr>
                <w:t>Subsidiaries of the registrant (incorporated by reference to Exhibit 21.1 to the Company’s Annual Report on Form 10-K filed on August 19,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 xml:space="preserve">Consent of Baker Tilly US, LLP. ++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92">
              <w:r>
                <w:rPr>
                  <w:rStyle w:val="InternetLink"/>
                  <w:rFonts w:ascii="Times New Roman;Times;Serif" w:hAnsi="Times New Roman;Times;Serif"/>
                  <w:b w:val="false"/>
                  <w:i w:val="false"/>
                  <w:caps w:val="false"/>
                  <w:smallCaps w:val="false"/>
                  <w:sz w:val="20"/>
                </w:rPr>
                <w:t xml:space="preserve">Consent of Porter Hedges LLP.***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93">
              <w:r>
                <w:rPr>
                  <w:rStyle w:val="InternetLink"/>
                  <w:rFonts w:ascii="Times New Roman;Times;Serif" w:hAnsi="Times New Roman;Times;Serif"/>
                  <w:b w:val="false"/>
                  <w:i w:val="false"/>
                  <w:caps w:val="false"/>
                  <w:smallCaps w:val="false"/>
                  <w:sz w:val="20"/>
                </w:rPr>
                <w:t>Filing Fees Exhibit.***</w:t>
              </w:r>
            </w:hyperlink>
            <w:r>
              <w:rPr>
                <w:rFonts w:ascii="Times New Roman;Times;Serif" w:hAnsi="Times New Roman;Times;Serif"/>
                <w:b w:val="false"/>
                <w:i w:val="false"/>
                <w:caps w:val="false"/>
                <w:smallCaps w:val="false"/>
                <w:sz w:val="20"/>
              </w:rPr>
              <w:t xml:space="preser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Indicates that confidential treatment has been requested for this exhibit.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Management contract or compensatory plan or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Previously filed. </w:t>
      </w:r>
    </w:p>
    <w:p>
      <w:pPr>
        <w:pStyle w:val="TextBody"/>
        <w:bidi w:val="0"/>
        <w:spacing w:before="0" w:after="0"/>
        <w:ind w:left="0" w:right="0" w:hanging="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17. Undertakings.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file, during any period in which offers or sales are being made, a post-effective amendment to this registration 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include any prospectus required by section 10(a)(3) of the Securities Act of 1933;</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paragraphs (a)(1)(i), (a)(1)(ii) and (a)(1)(iii)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remove from registration by means of a post-effective amendment any of the securities being registered which remain unsold at the termination of the offering.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That, 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That, for the purpose of determining liability of the registrant under the Securities Act of 1933 to any purchaser in the initial distribution of the securities:</w:t>
      </w:r>
    </w:p>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preliminary prospectus or prospectus of the undersigned registrant relating to the offering required to be filed pursuant to Rule 424;</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free writing prospectus relating to the offering prepared by or on behalf of the undersigned registrant or used or referred to by the undersigned registrant;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Any other communication that is an offer in the offering made by the undersigned registrant to the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offering thereof.</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pStyle w:val="TextBody"/>
        <w:bidi w:val="0"/>
        <w:spacing w:before="0" w:after="0"/>
        <w:ind w:left="0" w:right="0" w:firstLine="72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S-1 and has duly caused this registration statement to be signed on its behalf by the undersigned, thereunto duly authorized, in the Township of Monroe, State of New Jersey, on the 25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September, 2026.</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75"/>
        <w:gridCol w:w="320"/>
        <w:gridCol w:w="36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Tracy Pagliara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Tracy Pagliara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President and 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center"/>
        <w:rPr>
          <w:caps w:val="false"/>
          <w:smallCaps w:val="false"/>
        </w:rPr>
      </w:pPr>
      <w:r>
        <w:rPr>
          <w:caps w:val="false"/>
          <w:smallCaps w:val="false"/>
        </w:rPr>
        <w:t> </w:t>
      </w:r>
    </w:p>
    <w:tbl>
      <w:tblPr>
        <w:tblW w:w="8475" w:type="dxa"/>
        <w:jc w:val="left"/>
        <w:tblInd w:w="0" w:type="dxa"/>
        <w:tblLayout w:type="fixed"/>
        <w:tblCellMar>
          <w:top w:w="0" w:type="dxa"/>
          <w:left w:w="0" w:type="dxa"/>
          <w:bottom w:w="28" w:type="dxa"/>
          <w:right w:w="0" w:type="dxa"/>
        </w:tblCellMar>
      </w:tblPr>
      <w:tblGrid>
        <w:gridCol w:w="2180"/>
        <w:gridCol w:w="60"/>
        <w:gridCol w:w="4520"/>
        <w:gridCol w:w="60"/>
        <w:gridCol w:w="1655"/>
      </w:tblGrid>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5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Tracy Pagliara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President, Chief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25, 2026</w:t>
            </w:r>
          </w:p>
        </w:tc>
      </w:tr>
      <w:tr>
        <w:trPr/>
        <w:tc>
          <w:tcPr>
            <w:tcW w:w="21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Tracy Pagliara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Director (Principal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Powers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Financial Officer (Principal Financial Officer and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25, 2026</w:t>
            </w:r>
          </w:p>
        </w:tc>
      </w:tr>
      <w:tr>
        <w:trPr/>
        <w:tc>
          <w:tcPr>
            <w:tcW w:w="21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Powers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Joseph A. DiGuardo Jr.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Chairman of the Board and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25, 2026</w:t>
            </w:r>
          </w:p>
        </w:tc>
      </w:tr>
      <w:tr>
        <w:trPr/>
        <w:tc>
          <w:tcPr>
            <w:tcW w:w="21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A. DiGuardo Jr.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Clyde W. Hewlett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25, 2026</w:t>
            </w:r>
          </w:p>
        </w:tc>
      </w:tr>
      <w:tr>
        <w:trPr/>
        <w:tc>
          <w:tcPr>
            <w:tcW w:w="21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Clyde W. Hewlett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Corliss J. Montesi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25, 2026</w:t>
            </w:r>
          </w:p>
        </w:tc>
      </w:tr>
      <w:tr>
        <w:trPr/>
        <w:tc>
          <w:tcPr>
            <w:tcW w:w="21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Corliss J. Montesi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Jim Thompson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25, 2026</w:t>
            </w:r>
          </w:p>
        </w:tc>
      </w:tr>
      <w:tr>
        <w:trPr/>
        <w:tc>
          <w:tcPr>
            <w:tcW w:w="21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Jim Thompson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II-7</w:t>
            </w:r>
          </w:p>
        </w:tc>
      </w:tr>
    </w:tbl>
    <w:p>
      <w:pPr>
        <w:pStyle w:val="TextBody"/>
        <w:bidi w:val="0"/>
        <w:ind w:left="0" w:right="0" w:hanging="0"/>
        <w:jc w:val="center"/>
        <w:rPr>
          <w:caps w:val="false"/>
          <w:smallCaps w:val="false"/>
        </w:rPr>
      </w:pPr>
      <w:bookmarkStart w:id="14" w:name="ex23-1.htm"/>
      <w:bookmarkStart w:id="15" w:name="ksex231"/>
      <w:bookmarkEnd w:id="14"/>
      <w:bookmarkEnd w:id="15"/>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Amendment No. 1 to Registration Statement on Form S-1 (No. 333-298559) of Ocean Power Technologies Inc. (the “Company”) of our report dated August 19, 2026, relating to the consolidated financial statements of the Company (which report expresses an unqualified opinion and includes an explanatory paragraph relating to a going concern uncertainty), appearing in the Annual Report on Form 10-K of the Company for the year ended April 30, 2026, filed with the Securities and Exchange Commission.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Baker Tilly US, LLP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Dallas, Texas</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24, 2026</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0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378140/000149315226039261/form10-k.htm" TargetMode="External"/><Relationship Id="rId4" Type="http://schemas.openxmlformats.org/officeDocument/2006/relationships/hyperlink" Target="https://www.sec.gov/Archives/edgar/data/1378140/000149315226042579/form10-q.htm" TargetMode="External"/><Relationship Id="rId5" Type="http://schemas.openxmlformats.org/officeDocument/2006/relationships/hyperlink" Target="https://www.sec.gov/Archives/edgar/data/1378140/000164117225021008/form8-k.htm" TargetMode="External"/><Relationship Id="rId6" Type="http://schemas.openxmlformats.org/officeDocument/2006/relationships/hyperlink" Target="https://www.sec.gov/Archives/edgar/data/1378140/000164117225022274/form8-k.htm" TargetMode="External"/><Relationship Id="rId7" Type="http://schemas.openxmlformats.org/officeDocument/2006/relationships/hyperlink" Target="https://www.sec.gov/Archives/edgar/data/1378140/000164117225022761/form8-k.htm" TargetMode="External"/><Relationship Id="rId8" Type="http://schemas.openxmlformats.org/officeDocument/2006/relationships/hyperlink" Target="https://www.sec.gov/Archives/edgar/data/1378140/000164117225024738/form8-k.htm" TargetMode="External"/><Relationship Id="rId9" Type="http://schemas.openxmlformats.org/officeDocument/2006/relationships/hyperlink" Target="https://www.sec.gov/Archives/edgar/data/1378140/000164117225025689/form8-k.htm" TargetMode="External"/><Relationship Id="rId10" Type="http://schemas.openxmlformats.org/officeDocument/2006/relationships/hyperlink" Target="https://www.sec.gov/Archives/edgar/data/1378140/000149315225012591/form8-k.htm" TargetMode="External"/><Relationship Id="rId11" Type="http://schemas.openxmlformats.org/officeDocument/2006/relationships/hyperlink" Target="https://www.sec.gov/Archives/edgar/data/1378140/000149315225013624/form8-k.htm" TargetMode="External"/><Relationship Id="rId12" Type="http://schemas.openxmlformats.org/officeDocument/2006/relationships/hyperlink" Target="https://www.sec.gov/Archives/edgar/data/1378140/000149315225017184/form8-k.htm" TargetMode="External"/><Relationship Id="rId13" Type="http://schemas.openxmlformats.org/officeDocument/2006/relationships/hyperlink" Target="https://www.sec.gov/Archives/edgar/data/1378140/000149315225020955/form8-k.htm" TargetMode="External"/><Relationship Id="rId14" Type="http://schemas.openxmlformats.org/officeDocument/2006/relationships/hyperlink" Target="https://www.sec.gov/Archives/edgar/data/1378140/000149315225021902/form8-k.htm" TargetMode="External"/><Relationship Id="rId15" Type="http://schemas.openxmlformats.org/officeDocument/2006/relationships/hyperlink" Target="https://www.sec.gov/Archives/edgar/data/1378140/000149315225027865/form8-k.htm" TargetMode="External"/><Relationship Id="rId16" Type="http://schemas.openxmlformats.org/officeDocument/2006/relationships/hyperlink" Target="https://www.sec.gov/Archives/edgar/data/1378140/000149315226000524/form8-k.htm" TargetMode="External"/><Relationship Id="rId17" Type="http://schemas.openxmlformats.org/officeDocument/2006/relationships/hyperlink" Target="https://www.sec.gov/Archives/edgar/data/1378140/000149315226001119/form8-k.htm" TargetMode="External"/><Relationship Id="rId18" Type="http://schemas.openxmlformats.org/officeDocument/2006/relationships/hyperlink" Target="https://www.sec.gov/Archives/edgar/data/1378140/000149315226004017/form8-k.htm" TargetMode="External"/><Relationship Id="rId19" Type="http://schemas.openxmlformats.org/officeDocument/2006/relationships/hyperlink" Target="https://www.sec.gov/Archives/edgar/data/1378140/000149315226007895/form8-k.htm" TargetMode="External"/><Relationship Id="rId20" Type="http://schemas.openxmlformats.org/officeDocument/2006/relationships/hyperlink" Target="https://www.sec.gov/Archives/edgar/data/1378140/000149315226008546/form8-k.htm" TargetMode="External"/><Relationship Id="rId21" Type="http://schemas.openxmlformats.org/officeDocument/2006/relationships/hyperlink" Target="https://www.sec.gov/Archives/edgar/data/1378140/000149315226010048/form8-k.htm" TargetMode="External"/><Relationship Id="rId22" Type="http://schemas.openxmlformats.org/officeDocument/2006/relationships/hyperlink" Target="https://www.sec.gov/Archives/edgar/data/1378140/000149315226012815/form8-k.htm" TargetMode="External"/><Relationship Id="rId23" Type="http://schemas.openxmlformats.org/officeDocument/2006/relationships/hyperlink" Target="https://www.sec.gov/Archives/edgar/data/1378140/000149315226014548/form8-k.htm" TargetMode="External"/><Relationship Id="rId24" Type="http://schemas.openxmlformats.org/officeDocument/2006/relationships/hyperlink" Target="https://www.sec.gov/Archives/edgar/data/1378140/000149315226022516/form8-k.htm" TargetMode="External"/><Relationship Id="rId25" Type="http://schemas.openxmlformats.org/officeDocument/2006/relationships/hyperlink" Target="https://www.sec.gov/Archives/edgar/data/1378140/000149315226024820/form8-k.htm" TargetMode="External"/><Relationship Id="rId26" Type="http://schemas.openxmlformats.org/officeDocument/2006/relationships/hyperlink" Target="https://www.sec.gov/Archives/edgar/data/1378140/000149315226027653/form8-k.htm" TargetMode="External"/><Relationship Id="rId27" Type="http://schemas.openxmlformats.org/officeDocument/2006/relationships/hyperlink" Target="https://www.sec.gov/Archives/edgar/data/1378140/000149315226027926/form8-k.htm" TargetMode="External"/><Relationship Id="rId28" Type="http://schemas.openxmlformats.org/officeDocument/2006/relationships/hyperlink" Target="https://www.sec.gov/Archives/edgar/data/1378140/000149315226030434/form8-k.htm" TargetMode="External"/><Relationship Id="rId29" Type="http://schemas.openxmlformats.org/officeDocument/2006/relationships/hyperlink" Target="https://www.sec.gov/Archives/edgar/data/1378140/000149315226034425/form8-k.htm" TargetMode="External"/><Relationship Id="rId30" Type="http://schemas.openxmlformats.org/officeDocument/2006/relationships/hyperlink" Target="https://www.sec.gov/Archives/edgar/data/1378140/000149315226034862/form8-k.htm" TargetMode="External"/><Relationship Id="rId31" Type="http://schemas.openxmlformats.org/officeDocument/2006/relationships/hyperlink" Target="https://www.sec.gov/Archives/edgar/data/1378140/000149315226036203/form8-k.htm" TargetMode="External"/><Relationship Id="rId32" Type="http://schemas.openxmlformats.org/officeDocument/2006/relationships/hyperlink" Target="https://www.sec.gov/Archives/edgar/data/1378140/000149315226038739/form8-k.htm" TargetMode="External"/><Relationship Id="rId33" Type="http://schemas.openxmlformats.org/officeDocument/2006/relationships/hyperlink" Target="https://www.sec.gov/Archives/edgar/data/1378140/000149315226039393/form8-k.htm" TargetMode="External"/><Relationship Id="rId34" Type="http://schemas.openxmlformats.org/officeDocument/2006/relationships/hyperlink" Target="https://www.sec.gov/Archives/edgar/data/1378140/000149315226039793/form8-k.htm" TargetMode="External"/><Relationship Id="rId35" Type="http://schemas.openxmlformats.org/officeDocument/2006/relationships/hyperlink" Target="https://www.sec.gov/Archives/edgar/data/1378140/000149315226042282/form8-k.htm" TargetMode="External"/><Relationship Id="rId36" Type="http://schemas.openxmlformats.org/officeDocument/2006/relationships/hyperlink" Target="https://www.sec.gov/Archives/edgar/data/1378140/000149315226043115/form8-k.htm" TargetMode="External"/><Relationship Id="rId37" Type="http://schemas.openxmlformats.org/officeDocument/2006/relationships/hyperlink" Target="https://www.sec.gov/Archives/edgar/data/1378140/000095012307005612/y257908ae8va12b.htm" TargetMode="External"/><Relationship Id="rId38" Type="http://schemas.openxmlformats.org/officeDocument/2006/relationships/image" Target="media/image1.jpeg"/><Relationship Id="rId39" Type="http://schemas.openxmlformats.org/officeDocument/2006/relationships/hyperlink" Target="https://www.sec.gov/Archives/edgar/data/1378140/000095012307012637/y39497exv3w1.txt" TargetMode="External"/><Relationship Id="rId40" Type="http://schemas.openxmlformats.org/officeDocument/2006/relationships/hyperlink" Target="https://www.sec.gov/Archives/edgar/data/1378140/000143774915018957/ex3-1.htm" TargetMode="External"/><Relationship Id="rId41" Type="http://schemas.openxmlformats.org/officeDocument/2006/relationships/hyperlink" Target="https://www.sec.gov/Archives/edgar/data/1378140/000143774916040048/ex3-1.htm" TargetMode="External"/><Relationship Id="rId42" Type="http://schemas.openxmlformats.org/officeDocument/2006/relationships/hyperlink" Target="https://www.sec.gov/Archives/edgar/data/1378140/000149315218017201/ex3-1.htm" TargetMode="External"/><Relationship Id="rId43" Type="http://schemas.openxmlformats.org/officeDocument/2006/relationships/hyperlink" Target="https://www.sec.gov/Archives/edgar/data/1378140/000149315219003045/ex3-1.htm" TargetMode="External"/><Relationship Id="rId44" Type="http://schemas.openxmlformats.org/officeDocument/2006/relationships/hyperlink" Target="https://www.sec.gov/Archives/edgar/data/1378140/000149315224034583/ex3-1.htm" TargetMode="External"/><Relationship Id="rId45" Type="http://schemas.openxmlformats.org/officeDocument/2006/relationships/hyperlink" Target="https://www.sec.gov/Archives/edgar/data/1378140/000164117225008095/ex3-1.htm" TargetMode="External"/><Relationship Id="rId46" Type="http://schemas.openxmlformats.org/officeDocument/2006/relationships/hyperlink" Target="https://www.sec.gov/Archives/edgar/data/1378140/000149315226004017/ex3-1.htm" TargetMode="External"/><Relationship Id="rId47" Type="http://schemas.openxmlformats.org/officeDocument/2006/relationships/hyperlink" Target="https://www.sec.gov/Archives/edgar/data/1378140/000149315226030434/ex3-1.htm" TargetMode="External"/><Relationship Id="rId48" Type="http://schemas.openxmlformats.org/officeDocument/2006/relationships/hyperlink" Target="https://www.sec.gov/Archives/edgar/data/1378140/000149315226042282/ex3-1.htm" TargetMode="External"/><Relationship Id="rId49" Type="http://schemas.openxmlformats.org/officeDocument/2006/relationships/hyperlink" Target="https://www.sec.gov/Archives/edgar/data/1378140/000149315224026337/ex3-1.htm" TargetMode="External"/><Relationship Id="rId50" Type="http://schemas.openxmlformats.org/officeDocument/2006/relationships/hyperlink" Target="https://www.sec.gov/Archives/edgar/data/1378140/000149315223025878/ex4-1.htm" TargetMode="External"/><Relationship Id="rId51" Type="http://schemas.openxmlformats.org/officeDocument/2006/relationships/hyperlink" Target="https://www.sec.gov/Archives/edgar/data/1378140/000149315226027653/ex4-1.htm" TargetMode="External"/><Relationship Id="rId52" Type="http://schemas.openxmlformats.org/officeDocument/2006/relationships/hyperlink" Target="https://www.sec.gov/Archives/edgar/data/1378140/000149315226039261/ex4-3.htm" TargetMode="External"/><Relationship Id="rId53" Type="http://schemas.openxmlformats.org/officeDocument/2006/relationships/hyperlink" Target="https://www.sec.gov/Archives/edgar/data/1378140/000149315226030434/ex4-1.htm" TargetMode="External"/><Relationship Id="rId54" Type="http://schemas.openxmlformats.org/officeDocument/2006/relationships/hyperlink" Target="https://www.sec.gov/Archives/edgar/data/1378140/000149315226040052/ex5-1.htm" TargetMode="External"/><Relationship Id="rId55" Type="http://schemas.openxmlformats.org/officeDocument/2006/relationships/hyperlink" Target="https://www.sec.gov/Archives/edgar/data/1378140/000143774913011400/optt20130826_def14a.htm" TargetMode="External"/><Relationship Id="rId56" Type="http://schemas.openxmlformats.org/officeDocument/2006/relationships/hyperlink" Target="https://www.sec.gov/Archives/edgar/data/1378140/000095012311025230/c14079exv10w1.htm" TargetMode="External"/><Relationship Id="rId57" Type="http://schemas.openxmlformats.org/officeDocument/2006/relationships/hyperlink" Target="https://www.sec.gov/Archives/edgar/data/1378140/000143774915016806/optt20150901_def14a.htm" TargetMode="External"/><Relationship Id="rId58" Type="http://schemas.openxmlformats.org/officeDocument/2006/relationships/hyperlink" Target="https://www.sec.gov/Archives/edgar/data/1378140/000149315218000778/ex10-1.htm" TargetMode="External"/><Relationship Id="rId59" Type="http://schemas.openxmlformats.org/officeDocument/2006/relationships/hyperlink" Target="https://www.sec.gov/Archives/edgar/data/1378140/000149315218000778/ex10-2.htm" TargetMode="External"/><Relationship Id="rId60" Type="http://schemas.openxmlformats.org/officeDocument/2006/relationships/hyperlink" Target="https://www.sec.gov/Archives/edgar/data/1378140/000149315218003541/ex10-1.htm" TargetMode="External"/><Relationship Id="rId61" Type="http://schemas.openxmlformats.org/officeDocument/2006/relationships/hyperlink" Target="https://www.sec.gov/Archives/edgar/data/1378140/000149315218010086/ex10-27.htm" TargetMode="External"/><Relationship Id="rId62" Type="http://schemas.openxmlformats.org/officeDocument/2006/relationships/hyperlink" Target="https://www.sec.gov/Archives/edgar/data/1378140/000149315218010119/ex10-2.htm" TargetMode="External"/><Relationship Id="rId63" Type="http://schemas.openxmlformats.org/officeDocument/2006/relationships/hyperlink" Target="https://www.sec.gov/Archives/edgar/data/1378140/000149315219003082/ex10-2.htm" TargetMode="External"/><Relationship Id="rId64" Type="http://schemas.openxmlformats.org/officeDocument/2006/relationships/hyperlink" Target="https://www.sec.gov/Archives/edgar/data/1378140/000149315219009701/ex10-1.htm" TargetMode="External"/><Relationship Id="rId65" Type="http://schemas.openxmlformats.org/officeDocument/2006/relationships/hyperlink" Target="https://www.sec.gov/Archives/edgar/data/1378140/000149315219010930/ex10-37.htm" TargetMode="External"/><Relationship Id="rId66" Type="http://schemas.openxmlformats.org/officeDocument/2006/relationships/hyperlink" Target="https://www.sec.gov/Archives/edgar/data/1378140/000149315219014434/ex10-1.htm" TargetMode="External"/><Relationship Id="rId67" Type="http://schemas.openxmlformats.org/officeDocument/2006/relationships/hyperlink" Target="https://www.sec.gov/Archives/edgar/data/1378140/000149315219014434/ex10-2.htm" TargetMode="External"/><Relationship Id="rId68" Type="http://schemas.openxmlformats.org/officeDocument/2006/relationships/hyperlink" Target="https://www.sec.gov/Archives/edgar/data/1378140/000149315220003608/ex10-1.htm" TargetMode="External"/><Relationship Id="rId69" Type="http://schemas.openxmlformats.org/officeDocument/2006/relationships/hyperlink" Target="https://www.sec.gov/Archives/edgar/data/1378140/000149315220019983/ex10-1.htm" TargetMode="External"/><Relationship Id="rId70" Type="http://schemas.openxmlformats.org/officeDocument/2006/relationships/hyperlink" Target="https://www.sec.gov/Archives/edgar/data/1378140/000149315221028854/ex10-1.htm" TargetMode="External"/><Relationship Id="rId71" Type="http://schemas.openxmlformats.org/officeDocument/2006/relationships/hyperlink" Target="https://www.sec.gov/Archives/edgar/data/1378140/000149315221031190/ex10-1.htm" TargetMode="External"/><Relationship Id="rId72" Type="http://schemas.openxmlformats.org/officeDocument/2006/relationships/hyperlink" Target="https://www.sec.gov/Archives/edgar/data/1378140/000149315222004072/ex10-1.htm" TargetMode="External"/><Relationship Id="rId73" Type="http://schemas.openxmlformats.org/officeDocument/2006/relationships/hyperlink" Target="https://www.sec.gov/Archives/edgar/data/1378140/000149315223007434/ex10-1.htm" TargetMode="External"/><Relationship Id="rId74" Type="http://schemas.openxmlformats.org/officeDocument/2006/relationships/hyperlink" Target="https://www.sec.gov/Archives/edgar/data/1378140/000149315223007434/ex10-2.htm" TargetMode="External"/><Relationship Id="rId75" Type="http://schemas.openxmlformats.org/officeDocument/2006/relationships/hyperlink" Target="https://www.sec.gov/Archives/edgar/data/1378140/000149315223007434/ex10-3.htm" TargetMode="External"/><Relationship Id="rId76" Type="http://schemas.openxmlformats.org/officeDocument/2006/relationships/hyperlink" Target="https://www.sec.gov/Archives/edgar/data/1378140/000149315223044704/ex10-1.htm" TargetMode="External"/><Relationship Id="rId77" Type="http://schemas.openxmlformats.org/officeDocument/2006/relationships/hyperlink" Target="https://www.sec.gov/Archives/edgar/data/1378140/000149315223044704/ex10-2.htm" TargetMode="External"/><Relationship Id="rId78" Type="http://schemas.openxmlformats.org/officeDocument/2006/relationships/hyperlink" Target="https://www.sec.gov/Archives/edgar/data/1378140/000149315223044704/ex10-1.htm" TargetMode="External"/><Relationship Id="rId79" Type="http://schemas.openxmlformats.org/officeDocument/2006/relationships/hyperlink" Target="https://www.sec.gov/Archives/edgar/data/1378140/000149315224010814/ex10-1.htm" TargetMode="External"/><Relationship Id="rId80" Type="http://schemas.openxmlformats.org/officeDocument/2006/relationships/hyperlink" Target="https://www.sec.gov/Archives/edgar/data/1378140/000149315224037590/ex10-1.htm" TargetMode="External"/><Relationship Id="rId81" Type="http://schemas.openxmlformats.org/officeDocument/2006/relationships/hyperlink" Target="https://www.sec.gov/Archives/edgar/data/1378140/000149315224036423/ex10-2.htm" TargetMode="External"/><Relationship Id="rId82" Type="http://schemas.openxmlformats.org/officeDocument/2006/relationships/hyperlink" Target="https://www.sec.gov/Archives/edgar/data/1378140/000149315225003023/ex10-1.htm" TargetMode="External"/><Relationship Id="rId83" Type="http://schemas.openxmlformats.org/officeDocument/2006/relationships/hyperlink" Target="https://www.sec.gov/Archives/edgar/data/1378140/000164117225013665/ex10-1.htm" TargetMode="External"/><Relationship Id="rId84" Type="http://schemas.openxmlformats.org/officeDocument/2006/relationships/hyperlink" Target="https://www.sec.gov/Archives/edgar/data/1378140/000164117225022761/ex10-1.htm" TargetMode="External"/><Relationship Id="rId85" Type="http://schemas.openxmlformats.org/officeDocument/2006/relationships/hyperlink" Target="https://www.sec.gov/Archives/edgar/data/1378140/000149315226004017/ex10-1.htm" TargetMode="External"/><Relationship Id="rId86" Type="http://schemas.openxmlformats.org/officeDocument/2006/relationships/hyperlink" Target="https://www.sec.gov/Archives/edgar/data/1378140/000149315225026037/formdef14a.htm" TargetMode="External"/><Relationship Id="rId87" Type="http://schemas.openxmlformats.org/officeDocument/2006/relationships/hyperlink" Target="https://www.sec.gov/Archives/edgar/data/1378140/000149315226014548/ex10-1.htm" TargetMode="External"/><Relationship Id="rId88" Type="http://schemas.openxmlformats.org/officeDocument/2006/relationships/hyperlink" Target="https://www.sec.gov/Archives/edgar/data/1378140/000149315226014548/ex10-2.htm" TargetMode="External"/><Relationship Id="rId89" Type="http://schemas.openxmlformats.org/officeDocument/2006/relationships/hyperlink" Target="https://www.sec.gov/Archives/edgar/data/1378140/000149315226027653/ex10-1.htm" TargetMode="External"/><Relationship Id="rId90" Type="http://schemas.openxmlformats.org/officeDocument/2006/relationships/hyperlink" Target="https://www.sec.gov/Archives/edgar/data/1378140/000149315226039261/ex19-1.htm" TargetMode="External"/><Relationship Id="rId91" Type="http://schemas.openxmlformats.org/officeDocument/2006/relationships/hyperlink" Target="https://www.sec.gov/Archives/edgar/data/1378140/000149315226039261/ex21-1.htm" TargetMode="External"/><Relationship Id="rId92" Type="http://schemas.openxmlformats.org/officeDocument/2006/relationships/hyperlink" Target="https://www.sec.gov/Archives/edgar/data/1378140/000149315226040052/ex5-1.htm" TargetMode="External"/><Relationship Id="rId93" Type="http://schemas.openxmlformats.org/officeDocument/2006/relationships/hyperlink" Target="https://www.sec.gov/Archives/edgar/data/1378140/000149315226040052/ex107.htm" TargetMode="External"/><Relationship Id="rId94" Type="http://schemas.openxmlformats.org/officeDocument/2006/relationships/fontTable" Target="fontTable.xml"/><Relationship Id="rId9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12688</Words>
  <Characters>68115</Characters>
  <CharactersWithSpaces>80921</CharactersWithSpaces>
  <Paragraphs>1058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