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60501__20"/>
      <w:bookmarkEnd w:id="2"/>
      <w:r>
        <w:rPr>
          <w:rFonts w:ascii="Times New Roman;Times;Serif" w:hAnsi="Times New Roman;Times;Serif"/>
          <w:b/>
          <w:i w:val="false"/>
          <w:caps w:val="false"/>
          <w:smallCaps w:val="false"/>
          <w:sz w:val="36"/>
        </w:rPr>
        <w:t>10-Q</w:t>
      </w:r>
    </w:p>
    <w:p>
      <w:pPr>
        <w:pStyle w:val="TextBody"/>
        <w:bidi w:val="0"/>
        <w:spacing w:before="0" w:after="0"/>
        <w:jc w:val="center"/>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left"/>
              <w:rPr>
                <w:caps w:val="false"/>
                <w:smallCaps w:val="false"/>
              </w:rPr>
            </w:pPr>
            <w:bookmarkStart w:id="3" w:name="xdx_90C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0_edei--DocumentPeriodEndDate_c202"/>
      <w:bookmarkEnd w:id="4"/>
      <w:r>
        <w:rPr>
          <w:rFonts w:ascii="Times New Roman;Times;Serif" w:hAnsi="Times New Roman;Times;Serif"/>
          <w:b/>
          <w:i w:val="false"/>
          <w:caps w:val="false"/>
          <w:smallCaps w:val="false"/>
          <w:sz w:val="20"/>
        </w:rPr>
        <w:t>July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both"/>
              <w:rPr>
                <w:caps w:val="false"/>
                <w:smallCaps w:val="false"/>
              </w:rPr>
            </w:pPr>
            <w:bookmarkStart w:id="5" w:name="xdx_90B_edei--DocumentTransitionReport_c"/>
            <w:bookmarkEnd w:id="5"/>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______to______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6" w:name="xdx_901_edei--EntityFileNumber_c20260501"/>
      <w:bookmarkEnd w:id="6"/>
      <w:r>
        <w:rPr>
          <w:rFonts w:ascii="Times New Roman;Times;Serif" w:hAnsi="Times New Roman;Times;Serif"/>
          <w:b/>
          <w:i w:val="false"/>
          <w:caps w:val="false"/>
          <w:smallCaps w:val="false"/>
          <w:sz w:val="20"/>
        </w:rPr>
        <w:t>001-33417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7" w:name="xdx_903_edei--EntityRegistrantName_c2026"/>
      <w:bookmarkEnd w:id="7"/>
      <w:r>
        <w:rPr>
          <w:rFonts w:ascii="Times New Roman;Times;Serif" w:hAnsi="Times New Roman;Times;Serif"/>
          <w:b/>
          <w:i w:val="false"/>
          <w:caps w:val="false"/>
          <w:smallCaps w:val="false"/>
          <w:sz w:val="36"/>
        </w:rPr>
        <w:t>OCEAN POWER TECHNOLOGIES, INC.</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2615"/>
        <w:gridCol w:w="60"/>
        <w:gridCol w:w="1550"/>
      </w:tblGrid>
      <w:tr>
        <w:trPr/>
        <w:tc>
          <w:tcPr>
            <w:tcW w:w="26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6_edei--EntityIncorporationStateCo"/>
            <w:bookmarkEnd w:id="8"/>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5_edei--EntityTaxIdentificationNum"/>
            <w:bookmarkEnd w:id="9"/>
            <w:r>
              <w:rPr>
                <w:rFonts w:ascii="Times New Roman;Times;Serif" w:hAnsi="Times New Roman;Times;Serif"/>
                <w:b/>
                <w:i w:val="false"/>
                <w:caps w:val="false"/>
                <w:smallCaps w:val="false"/>
                <w:sz w:val="20"/>
              </w:rPr>
              <w:t>22-2535818</w:t>
            </w:r>
          </w:p>
        </w:tc>
      </w:tr>
      <w:tr>
        <w:trPr/>
        <w:tc>
          <w:tcPr>
            <w:tcW w:w="2615"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50"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2_edei--EntityAddressAddressLine1_"/>
      <w:bookmarkEnd w:id="10"/>
      <w:r>
        <w:rPr>
          <w:rFonts w:ascii="Times New Roman;Times;Serif" w:hAnsi="Times New Roman;Times;Serif"/>
          <w:b/>
          <w:i w:val="false"/>
          <w:caps w:val="false"/>
          <w:smallCaps w:val="false"/>
          <w:sz w:val="20"/>
        </w:rPr>
        <w:t xml:space="preserve">28 ENGELHARD DRIVE, </w:t>
      </w:r>
      <w:bookmarkStart w:id="11" w:name="xdx_90D_edei--EntityAddressAddressLine2_"/>
      <w:bookmarkEnd w:id="11"/>
      <w:r>
        <w:rPr>
          <w:rFonts w:ascii="Times New Roman;Times;Serif" w:hAnsi="Times New Roman;Times;Serif"/>
          <w:b/>
          <w:i w:val="false"/>
          <w:caps w:val="false"/>
          <w:smallCaps w:val="false"/>
          <w:sz w:val="20"/>
        </w:rPr>
        <w:t xml:space="preserve">SUITE B, </w:t>
      </w:r>
      <w:bookmarkStart w:id="12" w:name="xdx_907_edei--EntityAddressCityOrTown_c2"/>
      <w:bookmarkEnd w:id="12"/>
      <w:r>
        <w:rPr>
          <w:rFonts w:ascii="Times New Roman;Times;Serif" w:hAnsi="Times New Roman;Times;Serif"/>
          <w:b/>
          <w:i w:val="false"/>
          <w:caps w:val="false"/>
          <w:smallCaps w:val="false"/>
          <w:sz w:val="20"/>
        </w:rPr>
        <w:t xml:space="preserve">MONROE TOWNSHIP, </w:t>
      </w:r>
      <w:bookmarkStart w:id="13" w:name="xdx_909_edei--EntityAddressStateOrProvin"/>
      <w:bookmarkEnd w:id="13"/>
      <w:r>
        <w:rPr>
          <w:rFonts w:ascii="Times New Roman;Times;Serif" w:hAnsi="Times New Roman;Times;Serif"/>
          <w:b/>
          <w:i w:val="false"/>
          <w:caps w:val="false"/>
          <w:smallCaps w:val="false"/>
          <w:sz w:val="20"/>
        </w:rPr>
        <w:t xml:space="preserve">NJ </w:t>
      </w:r>
      <w:bookmarkStart w:id="14" w:name="xdx_901_edei--EntityAddressPostalZipCode"/>
      <w:bookmarkEnd w:id="14"/>
      <w:r>
        <w:rPr>
          <w:rFonts w:ascii="Times New Roman;Times;Serif" w:hAnsi="Times New Roman;Times;Serif"/>
          <w:b/>
          <w:i w:val="false"/>
          <w:caps w:val="false"/>
          <w:smallCaps w:val="false"/>
          <w:sz w:val="20"/>
        </w:rPr>
        <w:t>08831</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1_edei--CityAreaCode_c20260501__20"/>
      <w:bookmarkEnd w:id="15"/>
      <w:r>
        <w:rPr>
          <w:rFonts w:ascii="Times New Roman;Times;Serif" w:hAnsi="Times New Roman;Times;Serif"/>
          <w:b/>
          <w:i w:val="false"/>
          <w:caps w:val="false"/>
          <w:smallCaps w:val="false"/>
          <w:sz w:val="20"/>
        </w:rPr>
        <w:t xml:space="preserve">(609) </w:t>
      </w:r>
      <w:bookmarkStart w:id="16" w:name="xdx_90E_edei--LocalPhoneNumber_c20260501"/>
      <w:bookmarkEnd w:id="16"/>
      <w:r>
        <w:rPr>
          <w:rFonts w:ascii="Times New Roman;Times;Serif" w:hAnsi="Times New Roman;Times;Serif"/>
          <w:b/>
          <w:i w:val="false"/>
          <w:caps w:val="false"/>
          <w:smallCaps w:val="false"/>
          <w:sz w:val="20"/>
        </w:rPr>
        <w:t>730-0400</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565" w:type="dxa"/>
        <w:jc w:val="left"/>
        <w:tblInd w:w="0" w:type="dxa"/>
        <w:tblLayout w:type="fixed"/>
        <w:tblCellMar>
          <w:top w:w="0" w:type="dxa"/>
          <w:left w:w="0" w:type="dxa"/>
          <w:bottom w:w="28" w:type="dxa"/>
          <w:right w:w="0" w:type="dxa"/>
        </w:tblCellMar>
      </w:tblPr>
      <w:tblGrid>
        <w:gridCol w:w="3320"/>
        <w:gridCol w:w="60"/>
        <w:gridCol w:w="1535"/>
        <w:gridCol w:w="60"/>
        <w:gridCol w:w="3590"/>
      </w:tblGrid>
      <w:tr>
        <w:trPr/>
        <w:tc>
          <w:tcPr>
            <w:tcW w:w="33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0_edei--Security12bTitle_c20260501"/>
            <w:bookmarkEnd w:id="17"/>
            <w:r>
              <w:rPr>
                <w:rFonts w:ascii="Times New Roman;Times;Serif" w:hAnsi="Times New Roman;Times;Serif"/>
                <w:b w:val="false"/>
                <w:i w:val="false"/>
                <w:caps w:val="false"/>
                <w:smallCaps w:val="false"/>
                <w:sz w:val="20"/>
              </w:rPr>
              <w:t>Common Stock $0.001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5_edei--TradingSymbol_c20260501__2"/>
            <w:bookmarkEnd w:id="18"/>
            <w:r>
              <w:rPr>
                <w:rFonts w:ascii="Times New Roman;Times;Serif" w:hAnsi="Times New Roman;Times;Serif"/>
                <w:b w:val="false"/>
                <w:i w:val="false"/>
                <w:caps w:val="false"/>
                <w:smallCaps w:val="false"/>
                <w:sz w:val="20"/>
              </w:rPr>
              <w:t>OPTT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C_edei--SecurityExchangeName_c2026"/>
            <w:bookmarkEnd w:id="19"/>
            <w:r>
              <w:rPr>
                <w:rFonts w:ascii="Times New Roman;Times;Serif" w:hAnsi="Times New Roman;Times;Serif"/>
                <w:b w:val="false"/>
                <w:i w:val="false"/>
                <w:caps w:val="false"/>
                <w:smallCaps w:val="false"/>
                <w:sz w:val="20"/>
              </w:rPr>
              <w:t>NYSE American</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9_edei--Security12bTitle_c20260501"/>
            <w:bookmarkEnd w:id="20"/>
            <w:r>
              <w:rPr>
                <w:rFonts w:ascii="Times New Roman;Times;Serif" w:hAnsi="Times New Roman;Times;Serif"/>
                <w:b w:val="false"/>
                <w:i w:val="false"/>
                <w:caps w:val="false"/>
                <w:smallCaps w:val="false"/>
                <w:sz w:val="20"/>
              </w:rPr>
              <w:t>Series A Preferred Stock Purchase Rights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4_edei--NoTradingSymbolFlag_dbT_c2"/>
            <w:bookmarkEnd w:id="21"/>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D_edei--SecurityExchangeName_c2026"/>
            <w:bookmarkEnd w:id="22"/>
            <w:r>
              <w:rPr>
                <w:rFonts w:ascii="Times New Roman;Times;Serif" w:hAnsi="Times New Roman;Times;Serif"/>
                <w:b w:val="false"/>
                <w:i w:val="false"/>
                <w:caps w:val="false"/>
                <w:smallCaps w:val="false"/>
                <w:sz w:val="20"/>
              </w:rPr>
              <w:t>NYSE American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3" w:name="xdx_90B_edei--EntityCurrentReportingStat"/>
      <w:bookmarkEnd w:id="23"/>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4" w:name="xdx_90B_edei--EntityInteractiveDataCurre"/>
      <w:bookmarkEnd w:id="24"/>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both"/>
        <w:rPr>
          <w:caps w:val="false"/>
          <w:smallCaps w:val="false"/>
        </w:rPr>
      </w:pPr>
      <w:r>
        <w:rPr>
          <w:caps w:val="false"/>
          <w:smallCaps w:val="false"/>
        </w:rPr>
        <w:t> </w:t>
      </w:r>
    </w:p>
    <w:tbl>
      <w:tblPr>
        <w:tblW w:w="8450" w:type="dxa"/>
        <w:jc w:val="left"/>
        <w:tblInd w:w="0" w:type="dxa"/>
        <w:tblLayout w:type="fixed"/>
        <w:tblCellMar>
          <w:top w:w="0" w:type="dxa"/>
          <w:left w:w="0" w:type="dxa"/>
          <w:bottom w:w="0" w:type="dxa"/>
          <w:right w:w="0" w:type="dxa"/>
        </w:tblCellMar>
      </w:tblPr>
      <w:tblGrid>
        <w:gridCol w:w="2465"/>
        <w:gridCol w:w="1580"/>
        <w:gridCol w:w="1940"/>
        <w:gridCol w:w="2465"/>
      </w:tblGrid>
      <w:tr>
        <w:trPr/>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1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5" w:name="xdx_90D_edei--EntityFilerCategory_c20260"/>
            <w:bookmarkEnd w:id="25"/>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6" w:name="xdx_90B_edei--EntitySmallBusiness_c20260"/>
            <w:bookmarkEnd w:id="26"/>
            <w:r>
              <w:rPr>
                <w:rFonts w:ascii="Times New Roman;Times;Serif" w:hAnsi="Times New Roman;Times;Serif"/>
                <w:b w:val="false"/>
                <w:i w:val="false"/>
                <w:caps w:val="false"/>
                <w:smallCaps w:val="false"/>
                <w:sz w:val="20"/>
              </w:rPr>
              <w:t>☒</w:t>
            </w:r>
          </w:p>
        </w:tc>
      </w:tr>
      <w:tr>
        <w:trPr/>
        <w:tc>
          <w:tcPr>
            <w:tcW w:w="2465" w:type="dxa"/>
            <w:tcBorders/>
            <w:vAlign w:val="center"/>
          </w:tcPr>
          <w:p>
            <w:pPr>
              <w:pStyle w:val="TableContents"/>
              <w:bidi w:val="0"/>
              <w:spacing w:before="0" w:after="283"/>
              <w:jc w:val="left"/>
              <w:rPr>
                <w:caps w:val="false"/>
                <w:smallCaps w:val="false"/>
              </w:rPr>
            </w:pPr>
            <w:r>
              <w:rPr>
                <w:caps w:val="false"/>
                <w:smallCaps w:val="false"/>
              </w:rPr>
              <w:t> </w:t>
            </w:r>
          </w:p>
        </w:tc>
        <w:tc>
          <w:tcPr>
            <w:tcW w:w="158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7" w:name="xdx_90B_edei--EntityEmergingGrowthCompan"/>
            <w:bookmarkEnd w:id="27"/>
            <w:r>
              <w:rPr>
                <w:rFonts w:ascii="Times New Roman;Times;Serif" w:hAnsi="Times New Roman;Times;Serif"/>
                <w:b w:val="false"/>
                <w:i w:val="false"/>
                <w:caps w:val="false"/>
                <w:smallCaps w:val="false"/>
                <w:sz w:val="20"/>
              </w:rPr>
              <w:t>☐</w:t>
            </w:r>
          </w:p>
        </w:tc>
        <w:tc>
          <w:tcPr>
            <w:tcW w:w="158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8" w:name="xdx_90E_edei--EntityShellCompany_dbF_c20"/>
      <w:bookmarkEnd w:id="28"/>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11, 2026, the number of outstanding shares of common stock of the registrant was </w:t>
      </w:r>
      <w:bookmarkStart w:id="29" w:name="xdx_90E_edei--EntityCommonStockSharesOut"/>
      <w:bookmarkEnd w:id="29"/>
      <w:r>
        <w:rPr>
          <w:rFonts w:ascii="Times New Roman;Times;Serif" w:hAnsi="Times New Roman;Times;Serif"/>
          <w:b w:val="false"/>
          <w:i w:val="false"/>
          <w:caps w:val="false"/>
          <w:smallCaps w:val="false"/>
          <w:sz w:val="20"/>
        </w:rPr>
        <w:t>9,004,628.</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toc_001"/>
      <w:bookmarkEnd w:id="30"/>
      <w:r>
        <w:rPr>
          <w:rFonts w:ascii="Times New Roman;Times;Serif" w:hAnsi="Times New Roman;Times;Serif"/>
          <w:b/>
          <w:i w:val="false"/>
          <w:caps w:val="false"/>
          <w:smallCaps w:val="false"/>
          <w:sz w:val="20"/>
        </w:rPr>
        <w:t>OCEAN POWER TECHNOLOGIES,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FORM 10-Q</w:t>
      </w:r>
    </w:p>
    <w:p>
      <w:pPr>
        <w:pStyle w:val="TextBody"/>
        <w:bidi w:val="0"/>
        <w:spacing w:before="0" w:after="0"/>
        <w:ind w:left="0" w:right="0" w:hanging="0"/>
        <w:jc w:val="center"/>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9020"/>
        <w:gridCol w:w="60"/>
        <w:gridCol w:w="725"/>
      </w:tblGrid>
      <w:tr>
        <w:trPr/>
        <w:tc>
          <w:tcPr>
            <w:tcW w:w="90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r>
      <w:tr>
        <w:trPr/>
        <w:tc>
          <w:tcPr>
            <w:tcW w:w="902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i w:val="false"/>
                  <w:caps w:val="false"/>
                  <w:smallCaps w:val="false"/>
                  <w:sz w:val="20"/>
                </w:rPr>
                <w:t>PART I — FINANCIAL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02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Item 1. Financial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02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Consolidated Balance Sheets as of July 31, 2026 (unaudited) and April 30, 2026</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02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Unaudited Consolidated Statements of Operations for the three months ended July 31, 2026 and 2025</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02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Unaudited Consolidated Statement of Shareholders’ Equity for the three months ended July 31, 2026 and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02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Unaudited Consolidated Statements of Cash Flows for the three months ended July 31, 2026 and 2025</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902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Notes to Unaudited Consolidated Financial Statements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02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02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902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Item 4. Controls and Procedures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902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i w:val="false"/>
                  <w:caps w:val="false"/>
                  <w:smallCaps w:val="false"/>
                  <w:sz w:val="20"/>
                </w:rPr>
                <w:t>PART II — OTHER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020"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Item 1. Legal Proceedings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02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Item 1A. Risk Factors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020"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02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Item 3. Defaults Upon Senior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020"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Item 4. Mine Safety Disclosures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020"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Item 5. Other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9020"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Item 6. Exhibits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1" w:name="a_001"/>
      <w:bookmarkEnd w:id="31"/>
      <w:r>
        <w:rPr>
          <w:rFonts w:ascii="Times New Roman;Times;Serif" w:hAnsi="Times New Roman;Times;Serif"/>
          <w:b/>
          <w:i w:val="false"/>
          <w:caps w:val="false"/>
          <w:smallCaps w:val="false"/>
          <w:sz w:val="20"/>
        </w:rPr>
        <w:t>PART I — FINANCIAL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 w:name="a_002"/>
      <w:bookmarkEnd w:id="32"/>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a_003"/>
      <w:bookmarkEnd w:id="33"/>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4" w:name="xdx_30E_111_pn3n3_zZmK6zqYoPnc"/>
      <w:bookmarkStart w:id="35" w:name="xdx_30E_111_pn3n3_zZmK6zqYoPnc"/>
      <w:bookmarkEnd w:id="35"/>
    </w:p>
    <w:tbl>
      <w:tblPr>
        <w:tblW w:w="10205" w:type="dxa"/>
        <w:jc w:val="left"/>
        <w:tblInd w:w="0" w:type="dxa"/>
        <w:tblLayout w:type="fixed"/>
        <w:tblCellMar>
          <w:top w:w="0" w:type="dxa"/>
          <w:left w:w="0" w:type="dxa"/>
          <w:bottom w:w="0" w:type="dxa"/>
          <w:right w:w="0" w:type="dxa"/>
        </w:tblCellMar>
      </w:tblPr>
      <w:tblGrid>
        <w:gridCol w:w="7536"/>
        <w:gridCol w:w="60"/>
        <w:gridCol w:w="186"/>
        <w:gridCol w:w="990"/>
        <w:gridCol w:w="95"/>
        <w:gridCol w:w="60"/>
        <w:gridCol w:w="160"/>
        <w:gridCol w:w="1005"/>
        <w:gridCol w:w="113"/>
      </w:tblGrid>
      <w:tr>
        <w:trPr/>
        <w:tc>
          <w:tcPr>
            <w:tcW w:w="75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6" w:name="xdx_497_20260731_zK8h9mnlrI2"/>
            <w:bookmarkEnd w:id="36"/>
          </w:p>
        </w:tc>
        <w:tc>
          <w:tcPr>
            <w:tcW w:w="11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July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 w:name="xdx_49E_20260430_zsaDghqC8QOi"/>
            <w:bookmarkEnd w:id="37"/>
          </w:p>
        </w:tc>
        <w:tc>
          <w:tcPr>
            <w:tcW w:w="11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2026</w:t>
            </w:r>
          </w:p>
        </w:tc>
        <w:tc>
          <w:tcPr>
            <w:tcW w:w="113" w:type="dxa"/>
            <w:tcBorders/>
            <w:vAlign w:val="center"/>
          </w:tcPr>
          <w:p>
            <w:pPr>
              <w:pStyle w:val="TableContents"/>
              <w:bidi w:val="0"/>
              <w:spacing w:before="0" w:after="283"/>
              <w:jc w:val="left"/>
              <w:rPr/>
            </w:pPr>
            <w:r>
              <w:rPr/>
              <w:t> </w:t>
            </w:r>
          </w:p>
        </w:tc>
      </w:tr>
      <w:tr>
        <w:trPr/>
        <w:tc>
          <w:tcPr>
            <w:tcW w:w="75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6"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gridSpan w:val="2"/>
            <w:tcBorders/>
            <w:vAlign w:val="center"/>
          </w:tcPr>
          <w:p>
            <w:pPr>
              <w:pStyle w:val="TableContents"/>
              <w:bidi w:val="0"/>
              <w:spacing w:before="0" w:after="283"/>
              <w:jc w:val="center"/>
              <w:rPr/>
            </w:pPr>
            <w:r>
              <w:rPr/>
              <w:t> </w:t>
            </w:r>
          </w:p>
        </w:tc>
        <w:tc>
          <w:tcPr>
            <w:tcW w:w="113" w:type="dxa"/>
            <w:tcBorders/>
            <w:vAlign w:val="center"/>
          </w:tcPr>
          <w:p>
            <w:pPr>
              <w:pStyle w:val="TableContents"/>
              <w:bidi w:val="0"/>
              <w:spacing w:before="0" w:after="283"/>
              <w:jc w:val="left"/>
              <w:rPr/>
            </w:pPr>
            <w:r>
              <w:rPr/>
              <w:t> </w:t>
            </w:r>
            <w:bookmarkStart w:id="38" w:name="xdx_40C_eus-gaap--AssetsAbstract_iB_zOdd"/>
            <w:bookmarkEnd w:id="38"/>
          </w:p>
        </w:tc>
      </w:tr>
      <w:tr>
        <w:trPr/>
        <w:tc>
          <w:tcPr>
            <w:tcW w:w="7536" w:type="dxa"/>
            <w:tcBorders/>
            <w:shd w:fill="CCEEFF" w:val="clear"/>
            <w:vAlign w:val="center"/>
          </w:tcPr>
          <w:p>
            <w:pPr>
              <w:pStyle w:val="TableContents"/>
              <w:bidi w:val="0"/>
              <w:spacing w:before="0" w:after="283"/>
              <w:jc w:val="center"/>
              <w:rPr/>
            </w:pPr>
            <w:r>
              <w:rPr/>
              <w:t>ASSETS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39" w:name="xdx_40E_eus-gaap--AssetsCurrentAbstract_"/>
            <w:bookmarkEnd w:id="39"/>
          </w:p>
        </w:tc>
      </w:tr>
      <w:tr>
        <w:trPr/>
        <w:tc>
          <w:tcPr>
            <w:tcW w:w="7536"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40" w:name="xdx_40A_eus-gaap--CashAndCashEquivalents"/>
            <w:bookmarkEnd w:id="40"/>
          </w:p>
        </w:tc>
      </w:tr>
      <w:tr>
        <w:trPr/>
        <w:tc>
          <w:tcPr>
            <w:tcW w:w="7536"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90" w:type="dxa"/>
            <w:tcBorders/>
            <w:shd w:fill="CCEEFF" w:val="clear"/>
            <w:vAlign w:val="center"/>
          </w:tcPr>
          <w:p>
            <w:pPr>
              <w:pStyle w:val="TableContents"/>
              <w:bidi w:val="0"/>
              <w:spacing w:before="0" w:after="283"/>
              <w:jc w:val="right"/>
              <w:rPr/>
            </w:pPr>
            <w:r>
              <w:rPr/>
              <w:t>7,356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005" w:type="dxa"/>
            <w:tcBorders/>
            <w:shd w:fill="CCEEFF" w:val="clear"/>
            <w:vAlign w:val="center"/>
          </w:tcPr>
          <w:p>
            <w:pPr>
              <w:pStyle w:val="TableContents"/>
              <w:bidi w:val="0"/>
              <w:spacing w:before="0" w:after="283"/>
              <w:jc w:val="right"/>
              <w:rPr/>
            </w:pPr>
            <w:r>
              <w:rPr/>
              <w:t>8,719</w:t>
            </w:r>
          </w:p>
        </w:tc>
        <w:tc>
          <w:tcPr>
            <w:tcW w:w="113" w:type="dxa"/>
            <w:tcBorders/>
            <w:shd w:fill="CCEEFF" w:val="clear"/>
            <w:vAlign w:val="center"/>
          </w:tcPr>
          <w:p>
            <w:pPr>
              <w:pStyle w:val="TableContents"/>
              <w:bidi w:val="0"/>
              <w:spacing w:before="0" w:after="283"/>
              <w:jc w:val="left"/>
              <w:rPr/>
            </w:pPr>
            <w:r>
              <w:rPr/>
              <w:t> </w:t>
            </w:r>
            <w:bookmarkStart w:id="41" w:name="xdx_40A_eus-gaap--RestrictedCashAndInves"/>
            <w:bookmarkEnd w:id="41"/>
          </w:p>
        </w:tc>
      </w:tr>
      <w:tr>
        <w:trPr/>
        <w:tc>
          <w:tcPr>
            <w:tcW w:w="7536" w:type="dxa"/>
            <w:tcBorders/>
            <w:shd w:fill="FFFFFF" w:val="clear"/>
            <w:vAlign w:val="center"/>
          </w:tcPr>
          <w:p>
            <w:pPr>
              <w:pStyle w:val="TableContents"/>
              <w:bidi w:val="0"/>
              <w:spacing w:before="0" w:after="283"/>
              <w:jc w:val="left"/>
              <w:rPr/>
            </w:pPr>
            <w:r>
              <w:rPr/>
              <w:t>Restricted cash, short-term</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154</w:t>
            </w:r>
          </w:p>
        </w:tc>
        <w:tc>
          <w:tcPr>
            <w:tcW w:w="113" w:type="dxa"/>
            <w:tcBorders/>
            <w:shd w:fill="FFFFFF" w:val="clear"/>
            <w:vAlign w:val="center"/>
          </w:tcPr>
          <w:p>
            <w:pPr>
              <w:pStyle w:val="TableContents"/>
              <w:bidi w:val="0"/>
              <w:spacing w:before="0" w:after="283"/>
              <w:jc w:val="left"/>
              <w:rPr/>
            </w:pPr>
            <w:r>
              <w:rPr/>
              <w:t> </w:t>
            </w:r>
            <w:bookmarkStart w:id="42" w:name="xdx_404_eus-gaap--AccountsReceivableNetC"/>
            <w:bookmarkEnd w:id="42"/>
          </w:p>
        </w:tc>
      </w:tr>
      <w:tr>
        <w:trPr/>
        <w:tc>
          <w:tcPr>
            <w:tcW w:w="7536" w:type="dxa"/>
            <w:tcBorders/>
            <w:shd w:fill="CCEEFF" w:val="clear"/>
            <w:vAlign w:val="center"/>
          </w:tcPr>
          <w:p>
            <w:pPr>
              <w:pStyle w:val="TableContents"/>
              <w:bidi w:val="0"/>
              <w:spacing w:before="0" w:after="283"/>
              <w:jc w:val="left"/>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1,249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587</w:t>
            </w:r>
          </w:p>
        </w:tc>
        <w:tc>
          <w:tcPr>
            <w:tcW w:w="113" w:type="dxa"/>
            <w:tcBorders/>
            <w:shd w:fill="CCEEFF" w:val="clear"/>
            <w:vAlign w:val="center"/>
          </w:tcPr>
          <w:p>
            <w:pPr>
              <w:pStyle w:val="TableContents"/>
              <w:bidi w:val="0"/>
              <w:spacing w:before="0" w:after="283"/>
              <w:jc w:val="left"/>
              <w:rPr/>
            </w:pPr>
            <w:r>
              <w:rPr/>
              <w:t> </w:t>
            </w:r>
            <w:bookmarkStart w:id="43" w:name="xdx_403_eus-gaap--ContractWithCustomerAs"/>
            <w:bookmarkEnd w:id="43"/>
          </w:p>
        </w:tc>
      </w:tr>
      <w:tr>
        <w:trPr/>
        <w:tc>
          <w:tcPr>
            <w:tcW w:w="7536"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269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590</w:t>
            </w:r>
          </w:p>
        </w:tc>
        <w:tc>
          <w:tcPr>
            <w:tcW w:w="113" w:type="dxa"/>
            <w:tcBorders/>
            <w:shd w:fill="FFFFFF" w:val="clear"/>
            <w:vAlign w:val="center"/>
          </w:tcPr>
          <w:p>
            <w:pPr>
              <w:pStyle w:val="TableContents"/>
              <w:bidi w:val="0"/>
              <w:spacing w:before="0" w:after="283"/>
              <w:jc w:val="left"/>
              <w:rPr/>
            </w:pPr>
            <w:r>
              <w:rPr/>
              <w:t> </w:t>
            </w:r>
            <w:bookmarkStart w:id="44" w:name="xdx_406_eus-gaap--InventoryNet_i02I_maCz"/>
            <w:bookmarkEnd w:id="44"/>
          </w:p>
        </w:tc>
      </w:tr>
      <w:tr>
        <w:trPr/>
        <w:tc>
          <w:tcPr>
            <w:tcW w:w="7536"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4,552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3,190</w:t>
            </w:r>
          </w:p>
        </w:tc>
        <w:tc>
          <w:tcPr>
            <w:tcW w:w="113" w:type="dxa"/>
            <w:tcBorders/>
            <w:shd w:fill="CCEEFF" w:val="clear"/>
            <w:vAlign w:val="center"/>
          </w:tcPr>
          <w:p>
            <w:pPr>
              <w:pStyle w:val="TableContents"/>
              <w:bidi w:val="0"/>
              <w:spacing w:before="0" w:after="283"/>
              <w:jc w:val="left"/>
              <w:rPr/>
            </w:pPr>
            <w:r>
              <w:rPr/>
              <w:t> </w:t>
            </w:r>
            <w:bookmarkStart w:id="45" w:name="xdx_400_eus-gaap--OtherAssetsCurrent_i02"/>
            <w:bookmarkEnd w:id="45"/>
          </w:p>
        </w:tc>
      </w:tr>
      <w:tr>
        <w:trPr/>
        <w:tc>
          <w:tcPr>
            <w:tcW w:w="7536"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FFFFFF" w:val="clear"/>
            <w:tcMar>
              <w:bottom w:w="28" w:type="dxa"/>
            </w:tcMar>
            <w:vAlign w:val="center"/>
          </w:tcPr>
          <w:p>
            <w:pPr>
              <w:pStyle w:val="TableContents"/>
              <w:bidi w:val="0"/>
              <w:spacing w:before="0" w:after="283"/>
              <w:jc w:val="right"/>
              <w:rPr/>
            </w:pPr>
            <w:r>
              <w:rPr/>
              <w:t>1,852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5" w:type="dxa"/>
            <w:tcBorders>
              <w:bottom w:val="single" w:sz="8" w:space="0" w:color="000000"/>
            </w:tcBorders>
            <w:shd w:fill="FFFFFF" w:val="clear"/>
            <w:tcMar>
              <w:bottom w:w="28" w:type="dxa"/>
            </w:tcMar>
            <w:vAlign w:val="center"/>
          </w:tcPr>
          <w:p>
            <w:pPr>
              <w:pStyle w:val="TableContents"/>
              <w:bidi w:val="0"/>
              <w:spacing w:before="0" w:after="283"/>
              <w:jc w:val="right"/>
              <w:rPr/>
            </w:pPr>
            <w:r>
              <w:rPr/>
              <w:t>2,648</w:t>
            </w:r>
          </w:p>
        </w:tc>
        <w:tc>
          <w:tcPr>
            <w:tcW w:w="113" w:type="dxa"/>
            <w:tcBorders/>
            <w:shd w:fill="FFFFFF" w:val="clear"/>
            <w:vAlign w:val="center"/>
          </w:tcPr>
          <w:p>
            <w:pPr>
              <w:pStyle w:val="TableContents"/>
              <w:bidi w:val="0"/>
              <w:spacing w:before="0" w:after="283"/>
              <w:jc w:val="left"/>
              <w:rPr/>
            </w:pPr>
            <w:r>
              <w:rPr/>
              <w:t> </w:t>
            </w:r>
            <w:bookmarkStart w:id="46" w:name="xdx_40C_eus-gaap--AssetsCurrent_i02TI_mt"/>
            <w:bookmarkEnd w:id="46"/>
          </w:p>
        </w:tc>
      </w:tr>
      <w:tr>
        <w:trPr/>
        <w:tc>
          <w:tcPr>
            <w:tcW w:w="7536"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15,432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15,888</w:t>
            </w:r>
          </w:p>
        </w:tc>
        <w:tc>
          <w:tcPr>
            <w:tcW w:w="113" w:type="dxa"/>
            <w:tcBorders/>
            <w:shd w:fill="CCEEFF" w:val="clear"/>
            <w:vAlign w:val="center"/>
          </w:tcPr>
          <w:p>
            <w:pPr>
              <w:pStyle w:val="TableContents"/>
              <w:bidi w:val="0"/>
              <w:spacing w:before="0" w:after="283"/>
              <w:jc w:val="left"/>
              <w:rPr/>
            </w:pPr>
            <w:r>
              <w:rPr/>
              <w:t> </w:t>
            </w:r>
            <w:bookmarkStart w:id="47" w:name="xdx_40C_eus-gaap--PropertyPlantAndEquipm"/>
            <w:bookmarkEnd w:id="47"/>
          </w:p>
        </w:tc>
      </w:tr>
      <w:tr>
        <w:trPr/>
        <w:tc>
          <w:tcPr>
            <w:tcW w:w="7536"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9,798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10,255</w:t>
            </w:r>
          </w:p>
        </w:tc>
        <w:tc>
          <w:tcPr>
            <w:tcW w:w="113" w:type="dxa"/>
            <w:tcBorders/>
            <w:shd w:fill="FFFFFF" w:val="clear"/>
            <w:vAlign w:val="center"/>
          </w:tcPr>
          <w:p>
            <w:pPr>
              <w:pStyle w:val="TableContents"/>
              <w:bidi w:val="0"/>
              <w:spacing w:before="0" w:after="283"/>
              <w:jc w:val="left"/>
              <w:rPr/>
            </w:pPr>
            <w:r>
              <w:rPr/>
              <w:t> </w:t>
            </w:r>
            <w:bookmarkStart w:id="48" w:name="xdx_403_eus-gaap--IntangibleAssetsNetExc"/>
            <w:bookmarkEnd w:id="48"/>
          </w:p>
        </w:tc>
      </w:tr>
      <w:tr>
        <w:trPr/>
        <w:tc>
          <w:tcPr>
            <w:tcW w:w="7536" w:type="dxa"/>
            <w:tcBorders/>
            <w:shd w:fill="CCEEFF" w:val="clear"/>
            <w:vAlign w:val="center"/>
          </w:tcPr>
          <w:p>
            <w:pPr>
              <w:pStyle w:val="TableContents"/>
              <w:bidi w:val="0"/>
              <w:spacing w:before="0" w:after="283"/>
              <w:jc w:val="left"/>
              <w:rPr/>
            </w:pPr>
            <w:r>
              <w:rPr/>
              <w:t>Intangibles, net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3,324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3,357</w:t>
            </w:r>
          </w:p>
        </w:tc>
        <w:tc>
          <w:tcPr>
            <w:tcW w:w="113" w:type="dxa"/>
            <w:tcBorders/>
            <w:shd w:fill="CCEEFF" w:val="clear"/>
            <w:vAlign w:val="center"/>
          </w:tcPr>
          <w:p>
            <w:pPr>
              <w:pStyle w:val="TableContents"/>
              <w:bidi w:val="0"/>
              <w:spacing w:before="0" w:after="283"/>
              <w:jc w:val="left"/>
              <w:rPr/>
            </w:pPr>
            <w:r>
              <w:rPr/>
              <w:t> </w:t>
            </w:r>
            <w:bookmarkStart w:id="49" w:name="xdx_408_eus-gaap--OperatingLeaseRightOfU"/>
            <w:bookmarkEnd w:id="49"/>
          </w:p>
        </w:tc>
      </w:tr>
      <w:tr>
        <w:trPr/>
        <w:tc>
          <w:tcPr>
            <w:tcW w:w="7536" w:type="dxa"/>
            <w:tcBorders/>
            <w:shd w:fill="FFFFFF" w:val="clear"/>
            <w:vAlign w:val="center"/>
          </w:tcPr>
          <w:p>
            <w:pPr>
              <w:pStyle w:val="TableContents"/>
              <w:bidi w:val="0"/>
              <w:spacing w:before="0" w:after="283"/>
              <w:jc w:val="left"/>
              <w:rPr/>
            </w:pPr>
            <w:r>
              <w:rPr/>
              <w:t>Right-of-use assets, net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1,614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1,886</w:t>
            </w:r>
          </w:p>
        </w:tc>
        <w:tc>
          <w:tcPr>
            <w:tcW w:w="113" w:type="dxa"/>
            <w:tcBorders/>
            <w:shd w:fill="FFFFFF" w:val="clear"/>
            <w:vAlign w:val="center"/>
          </w:tcPr>
          <w:p>
            <w:pPr>
              <w:pStyle w:val="TableContents"/>
              <w:bidi w:val="0"/>
              <w:spacing w:before="0" w:after="283"/>
              <w:jc w:val="left"/>
              <w:rPr/>
            </w:pPr>
            <w:r>
              <w:rPr/>
              <w:t> </w:t>
            </w:r>
            <w:bookmarkStart w:id="50" w:name="xdx_406_eus-gaap--Goodwill_i01I_maCz24f_"/>
            <w:bookmarkEnd w:id="50"/>
          </w:p>
        </w:tc>
      </w:tr>
      <w:tr>
        <w:trPr/>
        <w:tc>
          <w:tcPr>
            <w:tcW w:w="7536"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CCEEFF" w:val="clear"/>
            <w:tcMar>
              <w:bottom w:w="28" w:type="dxa"/>
            </w:tcMar>
            <w:vAlign w:val="center"/>
          </w:tcPr>
          <w:p>
            <w:pPr>
              <w:pStyle w:val="TableContents"/>
              <w:bidi w:val="0"/>
              <w:spacing w:before="0" w:after="283"/>
              <w:jc w:val="right"/>
              <w:rPr/>
            </w:pPr>
            <w:r>
              <w:rPr/>
              <w:t>8,537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8" w:space="0" w:color="000000"/>
            </w:tcBorders>
            <w:shd w:fill="CCEEFF" w:val="clear"/>
            <w:tcMar>
              <w:bottom w:w="28" w:type="dxa"/>
            </w:tcMar>
            <w:vAlign w:val="center"/>
          </w:tcPr>
          <w:p>
            <w:pPr>
              <w:pStyle w:val="TableContents"/>
              <w:bidi w:val="0"/>
              <w:spacing w:before="0" w:after="283"/>
              <w:jc w:val="right"/>
              <w:rPr/>
            </w:pPr>
            <w:r>
              <w:rPr/>
              <w:t>8,537</w:t>
            </w:r>
          </w:p>
        </w:tc>
        <w:tc>
          <w:tcPr>
            <w:tcW w:w="113" w:type="dxa"/>
            <w:tcBorders/>
            <w:shd w:fill="CCEEFF" w:val="clear"/>
            <w:vAlign w:val="center"/>
          </w:tcPr>
          <w:p>
            <w:pPr>
              <w:pStyle w:val="TableContents"/>
              <w:bidi w:val="0"/>
              <w:spacing w:before="0" w:after="283"/>
              <w:jc w:val="left"/>
              <w:rPr/>
            </w:pPr>
            <w:r>
              <w:rPr/>
              <w:t> </w:t>
            </w:r>
            <w:bookmarkStart w:id="51" w:name="xdx_405_eus-gaap--Assets_i01TI_mtCz24f_z"/>
            <w:bookmarkEnd w:id="51"/>
          </w:p>
        </w:tc>
      </w:tr>
      <w:tr>
        <w:trPr/>
        <w:tc>
          <w:tcPr>
            <w:tcW w:w="7536"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0" w:type="dxa"/>
            <w:tcBorders>
              <w:bottom w:val="double" w:sz="6" w:space="0" w:color="000000"/>
            </w:tcBorders>
            <w:shd w:fill="FFFFFF" w:val="clear"/>
            <w:tcMar>
              <w:bottom w:w="28" w:type="dxa"/>
            </w:tcMar>
            <w:vAlign w:val="center"/>
          </w:tcPr>
          <w:p>
            <w:pPr>
              <w:pStyle w:val="TableContents"/>
              <w:bidi w:val="0"/>
              <w:spacing w:before="0" w:after="283"/>
              <w:jc w:val="right"/>
              <w:rPr/>
            </w:pPr>
            <w:r>
              <w:rPr/>
              <w:t>38,705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05" w:type="dxa"/>
            <w:tcBorders>
              <w:bottom w:val="double" w:sz="6" w:space="0" w:color="000000"/>
            </w:tcBorders>
            <w:shd w:fill="FFFFFF" w:val="clear"/>
            <w:tcMar>
              <w:bottom w:w="28" w:type="dxa"/>
            </w:tcMar>
            <w:vAlign w:val="center"/>
          </w:tcPr>
          <w:p>
            <w:pPr>
              <w:pStyle w:val="TableContents"/>
              <w:bidi w:val="0"/>
              <w:spacing w:before="0" w:after="283"/>
              <w:jc w:val="right"/>
              <w:rPr/>
            </w:pPr>
            <w:r>
              <w:rPr/>
              <w:t>39,923</w:t>
            </w:r>
          </w:p>
        </w:tc>
        <w:tc>
          <w:tcPr>
            <w:tcW w:w="113" w:type="dxa"/>
            <w:tcBorders/>
            <w:shd w:fill="FFFFFF" w:val="clear"/>
            <w:vAlign w:val="center"/>
          </w:tcPr>
          <w:p>
            <w:pPr>
              <w:pStyle w:val="TableContents"/>
              <w:bidi w:val="0"/>
              <w:spacing w:before="0" w:after="283"/>
              <w:jc w:val="left"/>
              <w:rPr/>
            </w:pPr>
            <w:r>
              <w:rPr/>
              <w:t> </w:t>
            </w:r>
            <w:bookmarkStart w:id="52" w:name="xdx_40C_eus-gaap--LiabilitiesAndStockhol"/>
            <w:bookmarkEnd w:id="52"/>
          </w:p>
        </w:tc>
      </w:tr>
      <w:tr>
        <w:trPr/>
        <w:tc>
          <w:tcPr>
            <w:tcW w:w="7536" w:type="dxa"/>
            <w:tcBorders/>
            <w:shd w:fill="CCEEFF" w:val="clear"/>
            <w:vAlign w:val="center"/>
          </w:tcPr>
          <w:p>
            <w:pPr>
              <w:pStyle w:val="TableContents"/>
              <w:bidi w:val="0"/>
              <w:spacing w:before="0" w:after="283"/>
              <w:jc w:val="center"/>
              <w:rPr/>
            </w:pPr>
            <w:r>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3" w:name="xdx_402_eus-gaap--LiabilitiesCurrentAbst"/>
            <w:bookmarkEnd w:id="53"/>
          </w:p>
        </w:tc>
      </w:tr>
      <w:tr>
        <w:trPr/>
        <w:tc>
          <w:tcPr>
            <w:tcW w:w="7536"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4" w:name="xdx_40F_eus-gaap--AccountsPayableCurrent"/>
            <w:bookmarkEnd w:id="54"/>
          </w:p>
        </w:tc>
      </w:tr>
      <w:tr>
        <w:trPr/>
        <w:tc>
          <w:tcPr>
            <w:tcW w:w="7536"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90" w:type="dxa"/>
            <w:tcBorders/>
            <w:shd w:fill="CCEEFF" w:val="clear"/>
            <w:vAlign w:val="center"/>
          </w:tcPr>
          <w:p>
            <w:pPr>
              <w:pStyle w:val="TableContents"/>
              <w:bidi w:val="0"/>
              <w:spacing w:before="0" w:after="283"/>
              <w:jc w:val="right"/>
              <w:rPr/>
            </w:pPr>
            <w:r>
              <w:rPr/>
              <w:t>6,726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005" w:type="dxa"/>
            <w:tcBorders/>
            <w:shd w:fill="CCEEFF" w:val="clear"/>
            <w:vAlign w:val="center"/>
          </w:tcPr>
          <w:p>
            <w:pPr>
              <w:pStyle w:val="TableContents"/>
              <w:bidi w:val="0"/>
              <w:spacing w:before="0" w:after="283"/>
              <w:jc w:val="right"/>
              <w:rPr/>
            </w:pPr>
            <w:r>
              <w:rPr/>
              <w:t>4,366</w:t>
            </w:r>
          </w:p>
        </w:tc>
        <w:tc>
          <w:tcPr>
            <w:tcW w:w="113" w:type="dxa"/>
            <w:tcBorders/>
            <w:shd w:fill="CCEEFF" w:val="clear"/>
            <w:vAlign w:val="center"/>
          </w:tcPr>
          <w:p>
            <w:pPr>
              <w:pStyle w:val="TableContents"/>
              <w:bidi w:val="0"/>
              <w:spacing w:before="0" w:after="283"/>
              <w:jc w:val="left"/>
              <w:rPr/>
            </w:pPr>
            <w:r>
              <w:rPr/>
              <w:t> </w:t>
            </w:r>
            <w:bookmarkStart w:id="55" w:name="xdx_40C_ecustom--EarnOutPayableCurrent_i"/>
            <w:bookmarkEnd w:id="55"/>
          </w:p>
        </w:tc>
      </w:tr>
      <w:tr>
        <w:trPr/>
        <w:tc>
          <w:tcPr>
            <w:tcW w:w="7536" w:type="dxa"/>
            <w:tcBorders/>
            <w:shd w:fill="FFFFFF" w:val="clear"/>
            <w:vAlign w:val="center"/>
          </w:tcPr>
          <w:p>
            <w:pPr>
              <w:pStyle w:val="TableContents"/>
              <w:bidi w:val="0"/>
              <w:spacing w:before="0" w:after="283"/>
              <w:jc w:val="left"/>
              <w:rPr/>
            </w:pPr>
            <w:r>
              <w:rPr/>
              <w:t>Earn out payable</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150</w:t>
            </w:r>
          </w:p>
        </w:tc>
        <w:tc>
          <w:tcPr>
            <w:tcW w:w="113" w:type="dxa"/>
            <w:tcBorders/>
            <w:shd w:fill="FFFFFF" w:val="clear"/>
            <w:vAlign w:val="center"/>
          </w:tcPr>
          <w:p>
            <w:pPr>
              <w:pStyle w:val="TableContents"/>
              <w:bidi w:val="0"/>
              <w:spacing w:before="0" w:after="283"/>
              <w:jc w:val="left"/>
              <w:rPr/>
            </w:pPr>
            <w:r>
              <w:rPr/>
              <w:t> </w:t>
            </w:r>
            <w:bookmarkStart w:id="56" w:name="xdx_409_eus-gaap--ConvertibleNotesPayabl"/>
            <w:bookmarkEnd w:id="56"/>
          </w:p>
        </w:tc>
      </w:tr>
      <w:tr>
        <w:trPr/>
        <w:tc>
          <w:tcPr>
            <w:tcW w:w="7536" w:type="dxa"/>
            <w:tcBorders/>
            <w:shd w:fill="CCEEFF" w:val="clear"/>
            <w:vAlign w:val="center"/>
          </w:tcPr>
          <w:p>
            <w:pPr>
              <w:pStyle w:val="TableContents"/>
              <w:bidi w:val="0"/>
              <w:spacing w:before="0" w:after="283"/>
              <w:jc w:val="left"/>
              <w:rPr/>
            </w:pPr>
            <w:r>
              <w:rPr/>
              <w:t>Convertible notes payable (Note 13)</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8,068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10,428</w:t>
            </w:r>
          </w:p>
        </w:tc>
        <w:tc>
          <w:tcPr>
            <w:tcW w:w="113" w:type="dxa"/>
            <w:tcBorders/>
            <w:shd w:fill="CCEEFF" w:val="clear"/>
            <w:vAlign w:val="center"/>
          </w:tcPr>
          <w:p>
            <w:pPr>
              <w:pStyle w:val="TableContents"/>
              <w:bidi w:val="0"/>
              <w:spacing w:before="0" w:after="283"/>
              <w:jc w:val="left"/>
              <w:rPr/>
            </w:pPr>
            <w:r>
              <w:rPr/>
              <w:t> </w:t>
            </w:r>
            <w:bookmarkStart w:id="57" w:name="xdx_406_eus-gaap--OtherLiabilitiesCurren"/>
            <w:bookmarkEnd w:id="57"/>
          </w:p>
        </w:tc>
      </w:tr>
      <w:tr>
        <w:trPr/>
        <w:tc>
          <w:tcPr>
            <w:tcW w:w="7536" w:type="dxa"/>
            <w:tcBorders/>
            <w:shd w:fill="FFFFFF" w:val="clear"/>
            <w:vAlign w:val="center"/>
          </w:tcPr>
          <w:p>
            <w:pPr>
              <w:pStyle w:val="TableContents"/>
              <w:bidi w:val="0"/>
              <w:spacing w:before="0" w:after="283"/>
              <w:jc w:val="left"/>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3,756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58" w:name="xdx_406_eus-gaap--AccruedLiabilitiesCurr"/>
            <w:bookmarkEnd w:id="58"/>
          </w:p>
        </w:tc>
      </w:tr>
      <w:tr>
        <w:trPr/>
        <w:tc>
          <w:tcPr>
            <w:tcW w:w="7536"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4,608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4,232</w:t>
            </w:r>
          </w:p>
        </w:tc>
        <w:tc>
          <w:tcPr>
            <w:tcW w:w="113" w:type="dxa"/>
            <w:tcBorders/>
            <w:shd w:fill="CCEEFF" w:val="clear"/>
            <w:vAlign w:val="center"/>
          </w:tcPr>
          <w:p>
            <w:pPr>
              <w:pStyle w:val="TableContents"/>
              <w:bidi w:val="0"/>
              <w:spacing w:before="0" w:after="283"/>
              <w:jc w:val="left"/>
              <w:rPr/>
            </w:pPr>
            <w:r>
              <w:rPr/>
              <w:t> </w:t>
            </w:r>
            <w:bookmarkStart w:id="59" w:name="xdx_406_eus-gaap--ContractWithCustomerLi"/>
            <w:bookmarkEnd w:id="59"/>
          </w:p>
        </w:tc>
      </w:tr>
      <w:tr>
        <w:trPr/>
        <w:tc>
          <w:tcPr>
            <w:tcW w:w="7536" w:type="dxa"/>
            <w:tcBorders/>
            <w:shd w:fill="FFFFFF" w:val="clear"/>
            <w:vAlign w:val="center"/>
          </w:tcPr>
          <w:p>
            <w:pPr>
              <w:pStyle w:val="TableContents"/>
              <w:bidi w:val="0"/>
              <w:spacing w:before="0" w:after="283"/>
              <w:jc w:val="left"/>
              <w:rPr/>
            </w:pPr>
            <w:r>
              <w:rPr/>
              <w:t>Contract liabilities, current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5,091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6,029</w:t>
            </w:r>
          </w:p>
        </w:tc>
        <w:tc>
          <w:tcPr>
            <w:tcW w:w="113" w:type="dxa"/>
            <w:tcBorders/>
            <w:shd w:fill="FFFFFF" w:val="clear"/>
            <w:vAlign w:val="center"/>
          </w:tcPr>
          <w:p>
            <w:pPr>
              <w:pStyle w:val="TableContents"/>
              <w:bidi w:val="0"/>
              <w:spacing w:before="0" w:after="283"/>
              <w:jc w:val="left"/>
              <w:rPr/>
            </w:pPr>
            <w:r>
              <w:rPr/>
              <w:t> </w:t>
            </w:r>
            <w:bookmarkStart w:id="60" w:name="xdx_402_eus-gaap--OperatingLeaseLiabilit"/>
            <w:bookmarkEnd w:id="60"/>
          </w:p>
        </w:tc>
      </w:tr>
      <w:tr>
        <w:trPr/>
        <w:tc>
          <w:tcPr>
            <w:tcW w:w="7536" w:type="dxa"/>
            <w:tcBorders/>
            <w:shd w:fill="CCEEFF" w:val="clear"/>
            <w:vAlign w:val="center"/>
          </w:tcPr>
          <w:p>
            <w:pPr>
              <w:pStyle w:val="TableContents"/>
              <w:bidi w:val="0"/>
              <w:spacing w:before="0" w:after="283"/>
              <w:jc w:val="left"/>
              <w:rPr/>
            </w:pPr>
            <w:r>
              <w:rPr/>
              <w:t>Right-of-use liabilities, current portion</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CCEEFF" w:val="clear"/>
            <w:tcMar>
              <w:bottom w:w="28" w:type="dxa"/>
            </w:tcMar>
            <w:vAlign w:val="center"/>
          </w:tcPr>
          <w:p>
            <w:pPr>
              <w:pStyle w:val="TableContents"/>
              <w:bidi w:val="0"/>
              <w:spacing w:before="0" w:after="283"/>
              <w:jc w:val="right"/>
              <w:rPr/>
            </w:pPr>
            <w:r>
              <w:rPr/>
              <w:t>1,228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8" w:space="0" w:color="000000"/>
            </w:tcBorders>
            <w:shd w:fill="CCEEFF" w:val="clear"/>
            <w:tcMar>
              <w:bottom w:w="28" w:type="dxa"/>
            </w:tcMar>
            <w:vAlign w:val="center"/>
          </w:tcPr>
          <w:p>
            <w:pPr>
              <w:pStyle w:val="TableContents"/>
              <w:bidi w:val="0"/>
              <w:spacing w:before="0" w:after="283"/>
              <w:jc w:val="right"/>
              <w:rPr/>
            </w:pPr>
            <w:r>
              <w:rPr/>
              <w:t>1,202</w:t>
            </w:r>
          </w:p>
        </w:tc>
        <w:tc>
          <w:tcPr>
            <w:tcW w:w="113" w:type="dxa"/>
            <w:tcBorders/>
            <w:shd w:fill="CCEEFF" w:val="clear"/>
            <w:vAlign w:val="center"/>
          </w:tcPr>
          <w:p>
            <w:pPr>
              <w:pStyle w:val="TableContents"/>
              <w:bidi w:val="0"/>
              <w:spacing w:before="0" w:after="283"/>
              <w:jc w:val="left"/>
              <w:rPr/>
            </w:pPr>
            <w:r>
              <w:rPr/>
              <w:t> </w:t>
            </w:r>
            <w:bookmarkStart w:id="61" w:name="xdx_403_eus-gaap--LiabilitiesCurrent_i02"/>
            <w:bookmarkEnd w:id="61"/>
          </w:p>
        </w:tc>
      </w:tr>
      <w:tr>
        <w:trPr/>
        <w:tc>
          <w:tcPr>
            <w:tcW w:w="7536"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29,527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26,407</w:t>
            </w:r>
          </w:p>
        </w:tc>
        <w:tc>
          <w:tcPr>
            <w:tcW w:w="113" w:type="dxa"/>
            <w:tcBorders/>
            <w:shd w:fill="FFFFFF" w:val="clear"/>
            <w:vAlign w:val="center"/>
          </w:tcPr>
          <w:p>
            <w:pPr>
              <w:pStyle w:val="TableContents"/>
              <w:bidi w:val="0"/>
              <w:spacing w:before="0" w:after="283"/>
              <w:jc w:val="left"/>
              <w:rPr/>
            </w:pPr>
            <w:r>
              <w:rPr/>
              <w:t> </w:t>
            </w:r>
            <w:bookmarkStart w:id="62" w:name="xdx_402_eus-gaap--DeferredIncomeTaxLiabi"/>
            <w:bookmarkEnd w:id="62"/>
          </w:p>
        </w:tc>
      </w:tr>
      <w:tr>
        <w:trPr/>
        <w:tc>
          <w:tcPr>
            <w:tcW w:w="7536"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203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203</w:t>
            </w:r>
          </w:p>
        </w:tc>
        <w:tc>
          <w:tcPr>
            <w:tcW w:w="113" w:type="dxa"/>
            <w:tcBorders/>
            <w:shd w:fill="CCEEFF" w:val="clear"/>
            <w:vAlign w:val="center"/>
          </w:tcPr>
          <w:p>
            <w:pPr>
              <w:pStyle w:val="TableContents"/>
              <w:bidi w:val="0"/>
              <w:spacing w:before="0" w:after="283"/>
              <w:jc w:val="left"/>
              <w:rPr/>
            </w:pPr>
            <w:r>
              <w:rPr/>
              <w:t> </w:t>
            </w:r>
            <w:bookmarkStart w:id="63" w:name="xdx_402_eus-gaap--OperatingLeaseLiabilit"/>
            <w:bookmarkEnd w:id="63"/>
          </w:p>
        </w:tc>
      </w:tr>
      <w:tr>
        <w:trPr/>
        <w:tc>
          <w:tcPr>
            <w:tcW w:w="7536" w:type="dxa"/>
            <w:tcBorders/>
            <w:shd w:fill="FFFFFF" w:val="clear"/>
            <w:vAlign w:val="center"/>
          </w:tcPr>
          <w:p>
            <w:pPr>
              <w:pStyle w:val="TableContents"/>
              <w:bidi w:val="0"/>
              <w:spacing w:before="0" w:after="283"/>
              <w:jc w:val="left"/>
              <w:rPr/>
            </w:pPr>
            <w:r>
              <w:rPr/>
              <w:t>Right-of-use liabilities, less current portion</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FFFFFF" w:val="clear"/>
            <w:tcMar>
              <w:bottom w:w="28" w:type="dxa"/>
            </w:tcMar>
            <w:vAlign w:val="center"/>
          </w:tcPr>
          <w:p>
            <w:pPr>
              <w:pStyle w:val="TableContents"/>
              <w:bidi w:val="0"/>
              <w:spacing w:before="0" w:after="283"/>
              <w:jc w:val="right"/>
              <w:rPr/>
            </w:pPr>
            <w:r>
              <w:rPr/>
              <w:t>522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5" w:type="dxa"/>
            <w:tcBorders>
              <w:bottom w:val="single" w:sz="8" w:space="0" w:color="000000"/>
            </w:tcBorders>
            <w:shd w:fill="FFFFFF" w:val="clear"/>
            <w:tcMar>
              <w:bottom w:w="28" w:type="dxa"/>
            </w:tcMar>
            <w:vAlign w:val="center"/>
          </w:tcPr>
          <w:p>
            <w:pPr>
              <w:pStyle w:val="TableContents"/>
              <w:bidi w:val="0"/>
              <w:spacing w:before="0" w:after="283"/>
              <w:jc w:val="right"/>
              <w:rPr/>
            </w:pPr>
            <w:r>
              <w:rPr/>
              <w:t>837</w:t>
            </w:r>
          </w:p>
        </w:tc>
        <w:tc>
          <w:tcPr>
            <w:tcW w:w="113" w:type="dxa"/>
            <w:tcBorders/>
            <w:shd w:fill="FFFFFF" w:val="clear"/>
            <w:vAlign w:val="center"/>
          </w:tcPr>
          <w:p>
            <w:pPr>
              <w:pStyle w:val="TableContents"/>
              <w:bidi w:val="0"/>
              <w:spacing w:before="0" w:after="283"/>
              <w:jc w:val="left"/>
              <w:rPr/>
            </w:pPr>
            <w:r>
              <w:rPr/>
              <w:t> </w:t>
            </w:r>
            <w:bookmarkStart w:id="64" w:name="xdx_404_eus-gaap--Liabilities_i01TI_mtCz"/>
            <w:bookmarkEnd w:id="64"/>
          </w:p>
        </w:tc>
      </w:tr>
      <w:tr>
        <w:trPr/>
        <w:tc>
          <w:tcPr>
            <w:tcW w:w="7536"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CCEEFF" w:val="clear"/>
            <w:tcMar>
              <w:bottom w:w="28" w:type="dxa"/>
            </w:tcMar>
            <w:vAlign w:val="center"/>
          </w:tcPr>
          <w:p>
            <w:pPr>
              <w:pStyle w:val="TableContents"/>
              <w:bidi w:val="0"/>
              <w:spacing w:before="0" w:after="283"/>
              <w:jc w:val="right"/>
              <w:rPr/>
            </w:pPr>
            <w:r>
              <w:rPr/>
              <w:t>30,252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8" w:space="0" w:color="000000"/>
            </w:tcBorders>
            <w:shd w:fill="CCEEFF" w:val="clear"/>
            <w:tcMar>
              <w:bottom w:w="28" w:type="dxa"/>
            </w:tcMar>
            <w:vAlign w:val="center"/>
          </w:tcPr>
          <w:p>
            <w:pPr>
              <w:pStyle w:val="TableContents"/>
              <w:bidi w:val="0"/>
              <w:spacing w:before="0" w:after="283"/>
              <w:jc w:val="right"/>
              <w:rPr/>
            </w:pPr>
            <w:r>
              <w:rPr/>
              <w:t>27,447</w:t>
            </w:r>
          </w:p>
        </w:tc>
        <w:tc>
          <w:tcPr>
            <w:tcW w:w="113" w:type="dxa"/>
            <w:tcBorders/>
            <w:shd w:fill="CCEEFF" w:val="clear"/>
            <w:vAlign w:val="center"/>
          </w:tcPr>
          <w:p>
            <w:pPr>
              <w:pStyle w:val="TableContents"/>
              <w:bidi w:val="0"/>
              <w:spacing w:before="0" w:after="283"/>
              <w:jc w:val="left"/>
              <w:rPr/>
            </w:pPr>
            <w:r>
              <w:rPr/>
              <w:t> </w:t>
            </w:r>
            <w:bookmarkStart w:id="65" w:name="xdx_40F_eus-gaap--CommitmentsAndContinge"/>
            <w:bookmarkEnd w:id="65"/>
          </w:p>
        </w:tc>
      </w:tr>
      <w:tr>
        <w:trPr/>
        <w:tc>
          <w:tcPr>
            <w:tcW w:w="7536" w:type="dxa"/>
            <w:tcBorders/>
            <w:shd w:fill="FFFFFF" w:val="clear"/>
            <w:vAlign w:val="center"/>
          </w:tcPr>
          <w:p>
            <w:pPr>
              <w:pStyle w:val="TableContents"/>
              <w:bidi w:val="0"/>
              <w:spacing w:before="0" w:after="283"/>
              <w:jc w:val="left"/>
              <w:rPr/>
            </w:pPr>
            <w:r>
              <w:rPr/>
              <w:t>Commitments and contingencies (Note 14)</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3" w:type="dxa"/>
            <w:tcBorders/>
            <w:shd w:fill="FFFFFF" w:val="clear"/>
            <w:vAlign w:val="center"/>
          </w:tcPr>
          <w:p>
            <w:pPr>
              <w:pStyle w:val="TableContents"/>
              <w:bidi w:val="0"/>
              <w:spacing w:before="0" w:after="283"/>
              <w:jc w:val="left"/>
              <w:rPr/>
            </w:pPr>
            <w:r>
              <w:rPr/>
              <w:t> </w:t>
            </w:r>
            <w:bookmarkStart w:id="66" w:name="xdx_402_eus-gaap--StockholdersEquityAbst"/>
            <w:bookmarkEnd w:id="66"/>
          </w:p>
        </w:tc>
      </w:tr>
      <w:tr>
        <w:trPr/>
        <w:tc>
          <w:tcPr>
            <w:tcW w:w="7536" w:type="dxa"/>
            <w:tcBorders/>
            <w:shd w:fill="CCEEFF" w:val="clear"/>
            <w:vAlign w:val="center"/>
          </w:tcPr>
          <w:p>
            <w:pPr>
              <w:pStyle w:val="TableContents"/>
              <w:bidi w:val="0"/>
              <w:spacing w:before="0" w:after="283"/>
              <w:jc w:val="left"/>
              <w:rPr/>
            </w:pPr>
            <w:r>
              <w:rPr/>
              <w:t>Shareholders’ Equity:</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67" w:name="xdx_40D_eus-gaap--PreferredStockValue_i0"/>
            <w:bookmarkEnd w:id="67"/>
          </w:p>
        </w:tc>
      </w:tr>
      <w:tr>
        <w:trPr/>
        <w:tc>
          <w:tcPr>
            <w:tcW w:w="7536" w:type="dxa"/>
            <w:tcBorders/>
            <w:shd w:fill="FFFFFF" w:val="clear"/>
            <w:vAlign w:val="center"/>
          </w:tcPr>
          <w:p>
            <w:pPr>
              <w:pStyle w:val="TableContents"/>
              <w:bidi w:val="0"/>
              <w:spacing w:before="0" w:after="283"/>
              <w:jc w:val="left"/>
              <w:rPr/>
            </w:pPr>
            <w:r>
              <w:rPr/>
              <w:t>Preferred stock, $</w:t>
            </w:r>
            <w:bookmarkStart w:id="68" w:name="xdx_900_eus-gaap--PreferredStockParOrSta"/>
            <w:bookmarkStart w:id="69" w:name="xdx_904_eus-gaap--PreferredStockParOrSta"/>
            <w:bookmarkEnd w:id="68"/>
            <w:bookmarkEnd w:id="69"/>
            <w:r>
              <w:rPr/>
              <w:t xml:space="preserve">0.001 par value; authorized </w:t>
            </w:r>
            <w:bookmarkStart w:id="70" w:name="xdx_909_eus-gaap--PreferredStockSharesAu"/>
            <w:bookmarkStart w:id="71" w:name="xdx_90A_eus-gaap--PreferredStockSharesAu"/>
            <w:bookmarkEnd w:id="70"/>
            <w:bookmarkEnd w:id="71"/>
            <w:r>
              <w:rPr/>
              <w:t xml:space="preserve">5,000,000 shares, </w:t>
            </w:r>
            <w:bookmarkStart w:id="72" w:name="xdx_909_eus-gaap--PreferredStockSharesOu"/>
            <w:bookmarkStart w:id="73" w:name="xdx_901_eus-gaap--PreferredStockSharesIs"/>
            <w:bookmarkStart w:id="74" w:name="xdx_903_eus-gaap--PreferredStockSharesOu"/>
            <w:bookmarkStart w:id="75" w:name="xdx_905_eus-gaap--PreferredStockSharesIs"/>
            <w:bookmarkEnd w:id="72"/>
            <w:bookmarkEnd w:id="73"/>
            <w:bookmarkEnd w:id="74"/>
            <w:bookmarkEnd w:id="75"/>
            <w:r>
              <w:rPr/>
              <w:t xml:space="preserve">none issued or outstanding; </w:t>
            </w:r>
            <w:bookmarkStart w:id="76" w:name="xdx_90E_eus-gaap--PreferredStockSharesAu"/>
            <w:bookmarkStart w:id="77" w:name="xdx_904_eus-gaap--PreferredStockSharesAu"/>
            <w:bookmarkEnd w:id="76"/>
            <w:bookmarkEnd w:id="77"/>
            <w:r>
              <w:rPr/>
              <w:t>100,000 designated as Series A</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78" w:name="xdx_404_eus-gaap--CommonStockValue_i02I_"/>
            <w:bookmarkEnd w:id="78"/>
          </w:p>
        </w:tc>
      </w:tr>
      <w:tr>
        <w:trPr/>
        <w:tc>
          <w:tcPr>
            <w:tcW w:w="7536" w:type="dxa"/>
            <w:tcBorders/>
            <w:shd w:fill="CCEEFF" w:val="clear"/>
            <w:vAlign w:val="center"/>
          </w:tcPr>
          <w:p>
            <w:pPr>
              <w:pStyle w:val="TableContents"/>
              <w:bidi w:val="0"/>
              <w:spacing w:before="0" w:after="283"/>
              <w:jc w:val="left"/>
              <w:rPr/>
            </w:pPr>
            <w:r>
              <w:rPr/>
              <w:t>Common stock, $</w:t>
            </w:r>
            <w:bookmarkStart w:id="79" w:name="xdx_903_eus-gaap--CommonStockParOrStated"/>
            <w:bookmarkStart w:id="80" w:name="xdx_90D_eus-gaap--CommonStockParOrStated"/>
            <w:bookmarkEnd w:id="79"/>
            <w:bookmarkEnd w:id="80"/>
            <w:r>
              <w:rPr/>
              <w:t xml:space="preserve">0.001 par value; authorized </w:t>
            </w:r>
            <w:bookmarkStart w:id="81" w:name="xdx_901_eus-gaap--CommonStockSharesAutho"/>
            <w:bookmarkStart w:id="82" w:name="xdx_904_eus-gaap--CommonStockSharesAutho"/>
            <w:bookmarkEnd w:id="81"/>
            <w:bookmarkEnd w:id="82"/>
            <w:r>
              <w:rPr/>
              <w:t xml:space="preserve">400,000,000 shares, issued </w:t>
            </w:r>
            <w:bookmarkStart w:id="83" w:name="xdx_901_eus-gaap--CommonStockSharesIssue"/>
            <w:bookmarkEnd w:id="83"/>
            <w:r>
              <w:rPr/>
              <w:t xml:space="preserve">9,094,159 shares and </w:t>
            </w:r>
            <w:bookmarkStart w:id="84" w:name="xdx_90B_eus-gaap--CommonStockSharesIssue"/>
            <w:bookmarkEnd w:id="84"/>
            <w:r>
              <w:rPr/>
              <w:t xml:space="preserve">7,704,867 shares, respectively; outstanding </w:t>
            </w:r>
            <w:bookmarkStart w:id="85" w:name="xdx_900_eus-gaap--CommonStockSharesOutst"/>
            <w:bookmarkEnd w:id="85"/>
            <w:r>
              <w:rPr/>
              <w:t xml:space="preserve">9,004,628 shares and </w:t>
            </w:r>
            <w:bookmarkStart w:id="86" w:name="xdx_904_eus-gaap--CommonStockSharesOutst"/>
            <w:bookmarkEnd w:id="86"/>
            <w:r>
              <w:rPr/>
              <w:t>7,615,336 shares, respectively</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231</w:t>
            </w:r>
          </w:p>
        </w:tc>
        <w:tc>
          <w:tcPr>
            <w:tcW w:w="113" w:type="dxa"/>
            <w:tcBorders/>
            <w:shd w:fill="CCEEFF" w:val="clear"/>
            <w:vAlign w:val="center"/>
          </w:tcPr>
          <w:p>
            <w:pPr>
              <w:pStyle w:val="TableContents"/>
              <w:bidi w:val="0"/>
              <w:spacing w:before="0" w:after="283"/>
              <w:jc w:val="left"/>
              <w:rPr/>
            </w:pPr>
            <w:r>
              <w:rPr/>
              <w:t> </w:t>
            </w:r>
            <w:bookmarkStart w:id="87" w:name="xdx_401_eus-gaap--TreasuryStockValue_i02"/>
            <w:bookmarkEnd w:id="87"/>
          </w:p>
        </w:tc>
      </w:tr>
      <w:tr>
        <w:trPr/>
        <w:tc>
          <w:tcPr>
            <w:tcW w:w="7536" w:type="dxa"/>
            <w:tcBorders/>
            <w:shd w:fill="FFFFFF" w:val="clear"/>
            <w:vAlign w:val="center"/>
          </w:tcPr>
          <w:p>
            <w:pPr>
              <w:pStyle w:val="TableContents"/>
              <w:bidi w:val="0"/>
              <w:spacing w:before="0" w:after="283"/>
              <w:jc w:val="left"/>
              <w:rPr/>
            </w:pPr>
            <w:r>
              <w:rPr/>
              <w:t xml:space="preserve">Treasury stock, at cost; </w:t>
            </w:r>
            <w:bookmarkStart w:id="88" w:name="xdx_90C_eus-gaap--TreasuryStockCommonSha"/>
            <w:bookmarkEnd w:id="88"/>
            <w:r>
              <w:rPr/>
              <w:t xml:space="preserve">89,531 and </w:t>
            </w:r>
            <w:bookmarkStart w:id="89" w:name="xdx_902_eus-gaap--TreasuryStockCommonSha"/>
            <w:bookmarkEnd w:id="89"/>
            <w:r>
              <w:rPr/>
              <w:t>89,531 shares, respectively</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(1,825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(1,825</w:t>
            </w:r>
          </w:p>
        </w:tc>
        <w:tc>
          <w:tcPr>
            <w:tcW w:w="113" w:type="dxa"/>
            <w:tcBorders/>
            <w:shd w:fill="FFFFFF" w:val="clear"/>
            <w:vAlign w:val="center"/>
          </w:tcPr>
          <w:p>
            <w:pPr>
              <w:pStyle w:val="TableContents"/>
              <w:bidi w:val="0"/>
              <w:spacing w:before="0" w:after="283"/>
              <w:jc w:val="left"/>
              <w:rPr/>
            </w:pPr>
            <w:r>
              <w:rPr/>
              <w:t>)</w:t>
            </w:r>
            <w:bookmarkStart w:id="90" w:name="xdx_407_eus-gaap--AdditionalPaidInCapita"/>
            <w:bookmarkEnd w:id="90"/>
          </w:p>
        </w:tc>
      </w:tr>
      <w:tr>
        <w:trPr/>
        <w:tc>
          <w:tcPr>
            <w:tcW w:w="7536"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401,503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05" w:type="dxa"/>
            <w:tcBorders/>
            <w:shd w:fill="CCEEFF" w:val="clear"/>
            <w:vAlign w:val="center"/>
          </w:tcPr>
          <w:p>
            <w:pPr>
              <w:pStyle w:val="TableContents"/>
              <w:bidi w:val="0"/>
              <w:spacing w:before="0" w:after="283"/>
              <w:jc w:val="right"/>
              <w:rPr/>
            </w:pPr>
            <w:r>
              <w:rPr/>
              <w:t>395,031</w:t>
            </w:r>
          </w:p>
        </w:tc>
        <w:tc>
          <w:tcPr>
            <w:tcW w:w="113" w:type="dxa"/>
            <w:tcBorders/>
            <w:shd w:fill="CCEEFF" w:val="clear"/>
            <w:vAlign w:val="center"/>
          </w:tcPr>
          <w:p>
            <w:pPr>
              <w:pStyle w:val="TableContents"/>
              <w:bidi w:val="0"/>
              <w:spacing w:before="0" w:after="283"/>
              <w:jc w:val="left"/>
              <w:rPr/>
            </w:pPr>
            <w:r>
              <w:rPr/>
              <w:t> </w:t>
            </w:r>
            <w:bookmarkStart w:id="91" w:name="xdx_405_eus-gaap--RetainedEarningsAccumu"/>
            <w:bookmarkEnd w:id="91"/>
          </w:p>
        </w:tc>
      </w:tr>
      <w:tr>
        <w:trPr/>
        <w:tc>
          <w:tcPr>
            <w:tcW w:w="7536"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(391,498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(380,961</w:t>
            </w:r>
          </w:p>
        </w:tc>
        <w:tc>
          <w:tcPr>
            <w:tcW w:w="113" w:type="dxa"/>
            <w:tcBorders/>
            <w:shd w:fill="FFFFFF" w:val="clear"/>
            <w:vAlign w:val="center"/>
          </w:tcPr>
          <w:p>
            <w:pPr>
              <w:pStyle w:val="TableContents"/>
              <w:bidi w:val="0"/>
              <w:spacing w:before="0" w:after="283"/>
              <w:jc w:val="left"/>
              <w:rPr/>
            </w:pPr>
            <w:r>
              <w:rPr/>
              <w:t>)</w:t>
            </w:r>
            <w:bookmarkStart w:id="92" w:name="xdx_40E_eus-gaap--AccumulatedOtherCompre"/>
            <w:bookmarkEnd w:id="92"/>
          </w:p>
        </w:tc>
      </w:tr>
      <w:tr>
        <w:trPr/>
        <w:tc>
          <w:tcPr>
            <w:tcW w:w="7536"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93" w:name="xdx_407_eus-gaap--StockholdersEquity_i02"/>
            <w:bookmarkEnd w:id="93"/>
          </w:p>
        </w:tc>
      </w:tr>
      <w:tr>
        <w:trPr/>
        <w:tc>
          <w:tcPr>
            <w:tcW w:w="7536" w:type="dxa"/>
            <w:tcBorders/>
            <w:shd w:fill="FFFFFF" w:val="clear"/>
            <w:vAlign w:val="center"/>
          </w:tcPr>
          <w:p>
            <w:pPr>
              <w:pStyle w:val="TableContents"/>
              <w:bidi w:val="0"/>
              <w:spacing w:before="0" w:after="283"/>
              <w:jc w:val="left"/>
              <w:rPr/>
            </w:pPr>
            <w:r>
              <w:rPr/>
              <w:t>Total shareholders’ equity</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0" w:type="dxa"/>
            <w:tcBorders>
              <w:bottom w:val="single" w:sz="8" w:space="0" w:color="000000"/>
            </w:tcBorders>
            <w:shd w:fill="FFFFFF" w:val="clear"/>
            <w:tcMar>
              <w:bottom w:w="28" w:type="dxa"/>
            </w:tcMar>
            <w:vAlign w:val="center"/>
          </w:tcPr>
          <w:p>
            <w:pPr>
              <w:pStyle w:val="TableContents"/>
              <w:bidi w:val="0"/>
              <w:spacing w:before="0" w:after="283"/>
              <w:jc w:val="right"/>
              <w:rPr/>
            </w:pPr>
            <w:r>
              <w:rPr/>
              <w:t>8,453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5" w:type="dxa"/>
            <w:tcBorders>
              <w:bottom w:val="single" w:sz="8" w:space="0" w:color="000000"/>
            </w:tcBorders>
            <w:shd w:fill="FFFFFF" w:val="clear"/>
            <w:tcMar>
              <w:bottom w:w="28" w:type="dxa"/>
            </w:tcMar>
            <w:vAlign w:val="center"/>
          </w:tcPr>
          <w:p>
            <w:pPr>
              <w:pStyle w:val="TableContents"/>
              <w:bidi w:val="0"/>
              <w:spacing w:before="0" w:after="283"/>
              <w:jc w:val="right"/>
              <w:rPr/>
            </w:pPr>
            <w:r>
              <w:rPr/>
              <w:t>12,476</w:t>
            </w:r>
          </w:p>
        </w:tc>
        <w:tc>
          <w:tcPr>
            <w:tcW w:w="113" w:type="dxa"/>
            <w:tcBorders/>
            <w:shd w:fill="FFFFFF" w:val="clear"/>
            <w:vAlign w:val="center"/>
          </w:tcPr>
          <w:p>
            <w:pPr>
              <w:pStyle w:val="TableContents"/>
              <w:bidi w:val="0"/>
              <w:spacing w:before="0" w:after="283"/>
              <w:jc w:val="left"/>
              <w:rPr/>
            </w:pPr>
            <w:r>
              <w:rPr/>
              <w:t> </w:t>
            </w:r>
            <w:bookmarkStart w:id="94" w:name="xdx_403_eus-gaap--LiabilitiesAndStockhol"/>
            <w:bookmarkEnd w:id="94"/>
          </w:p>
        </w:tc>
      </w:tr>
      <w:tr>
        <w:trPr/>
        <w:tc>
          <w:tcPr>
            <w:tcW w:w="7536" w:type="dxa"/>
            <w:tcBorders/>
            <w:shd w:fill="CCEEFF" w:val="clear"/>
            <w:vAlign w:val="center"/>
          </w:tcPr>
          <w:p>
            <w:pPr>
              <w:pStyle w:val="TableContents"/>
              <w:bidi w:val="0"/>
              <w:spacing w:before="0" w:after="283"/>
              <w:jc w:val="left"/>
              <w:rPr/>
            </w:pPr>
            <w:r>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0" w:type="dxa"/>
            <w:tcBorders>
              <w:bottom w:val="double" w:sz="6" w:space="0" w:color="000000"/>
            </w:tcBorders>
            <w:shd w:fill="CCEEFF" w:val="clear"/>
            <w:tcMar>
              <w:bottom w:w="28" w:type="dxa"/>
            </w:tcMar>
            <w:vAlign w:val="center"/>
          </w:tcPr>
          <w:p>
            <w:pPr>
              <w:pStyle w:val="TableContents"/>
              <w:bidi w:val="0"/>
              <w:spacing w:before="0" w:after="283"/>
              <w:jc w:val="right"/>
              <w:rPr/>
            </w:pPr>
            <w:r>
              <w:rPr/>
              <w:t>38,705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05" w:type="dxa"/>
            <w:tcBorders>
              <w:bottom w:val="double" w:sz="6" w:space="0" w:color="000000"/>
            </w:tcBorders>
            <w:shd w:fill="CCEEFF" w:val="clear"/>
            <w:tcMar>
              <w:bottom w:w="28" w:type="dxa"/>
            </w:tcMar>
            <w:vAlign w:val="center"/>
          </w:tcPr>
          <w:p>
            <w:pPr>
              <w:pStyle w:val="TableContents"/>
              <w:bidi w:val="0"/>
              <w:spacing w:before="0" w:after="283"/>
              <w:jc w:val="right"/>
              <w:rPr/>
            </w:pPr>
            <w:r>
              <w:rPr/>
              <w:t>39,923</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5" w:name="a_004"/>
      <w:bookmarkEnd w:id="95"/>
      <w:r>
        <w:rPr>
          <w:rFonts w:ascii="Times New Roman;Times;Serif" w:hAnsi="Times New Roman;Times;Serif"/>
          <w:b/>
          <w:i w:val="false"/>
          <w:caps w:val="false"/>
          <w:smallCaps w:val="false"/>
          <w:sz w:val="20"/>
        </w:rPr>
        <w:t>Ocean Power Technologies,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per share data)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6" w:name="xdx_30E_113_pn3n3_zrt17zXNbgEc"/>
      <w:bookmarkStart w:id="97" w:name="xdx_30E_113_pn3n3_zrt17zXNbgEc"/>
      <w:bookmarkEnd w:id="97"/>
    </w:p>
    <w:tbl>
      <w:tblPr>
        <w:tblW w:w="10205" w:type="dxa"/>
        <w:jc w:val="left"/>
        <w:tblInd w:w="0" w:type="dxa"/>
        <w:tblLayout w:type="fixed"/>
        <w:tblCellMar>
          <w:top w:w="0" w:type="dxa"/>
          <w:left w:w="0" w:type="dxa"/>
          <w:bottom w:w="0" w:type="dxa"/>
          <w:right w:w="0" w:type="dxa"/>
        </w:tblCellMar>
      </w:tblPr>
      <w:tblGrid>
        <w:gridCol w:w="7147"/>
        <w:gridCol w:w="60"/>
        <w:gridCol w:w="168"/>
        <w:gridCol w:w="1182"/>
        <w:gridCol w:w="114"/>
        <w:gridCol w:w="71"/>
        <w:gridCol w:w="168"/>
        <w:gridCol w:w="1182"/>
        <w:gridCol w:w="113"/>
      </w:tblGrid>
      <w:tr>
        <w:trPr/>
        <w:tc>
          <w:tcPr>
            <w:tcW w:w="71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8" w:name="xdx_490_20260501__20260731_zEWDUbaYuKoh"/>
            <w:bookmarkEnd w:id="98"/>
          </w:p>
        </w:tc>
        <w:tc>
          <w:tcPr>
            <w:tcW w:w="13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bookmarkStart w:id="99" w:name="xdx_497_20250501__20250731_z5IMRBgydIfa"/>
            <w:bookmarkEnd w:id="99"/>
          </w:p>
        </w:tc>
        <w:tc>
          <w:tcPr>
            <w:tcW w:w="13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r>
      <w:tr>
        <w:trPr/>
        <w:tc>
          <w:tcPr>
            <w:tcW w:w="71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July 31,</w:t>
            </w:r>
          </w:p>
        </w:tc>
        <w:tc>
          <w:tcPr>
            <w:tcW w:w="113" w:type="dxa"/>
            <w:tcBorders/>
            <w:vAlign w:val="center"/>
          </w:tcPr>
          <w:p>
            <w:pPr>
              <w:pStyle w:val="TableContents"/>
              <w:bidi w:val="0"/>
              <w:spacing w:before="0" w:after="283"/>
              <w:jc w:val="left"/>
              <w:rPr/>
            </w:pPr>
            <w:r>
              <w:rPr/>
              <w:t> </w:t>
            </w:r>
          </w:p>
        </w:tc>
      </w:tr>
      <w:tr>
        <w:trPr/>
        <w:tc>
          <w:tcPr>
            <w:tcW w:w="71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r>
      <w:tr>
        <w:trPr/>
        <w:tc>
          <w:tcPr>
            <w:tcW w:w="71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0"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50"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bookmarkStart w:id="100" w:name="xdx_40D_eus-gaap--Revenues_hsrt--Product"/>
            <w:bookmarkEnd w:id="100"/>
          </w:p>
        </w:tc>
      </w:tr>
      <w:tr>
        <w:trPr/>
        <w:tc>
          <w:tcPr>
            <w:tcW w:w="7147" w:type="dxa"/>
            <w:tcBorders/>
            <w:shd w:fill="CCEEFF" w:val="clear"/>
            <w:vAlign w:val="center"/>
          </w:tcPr>
          <w:p>
            <w:pPr>
              <w:pStyle w:val="TableContents"/>
              <w:bidi w:val="0"/>
              <w:spacing w:before="0" w:after="283"/>
              <w:jc w:val="left"/>
              <w:rPr/>
            </w:pPr>
            <w:r>
              <w:rPr/>
              <w:t>Product &amp; service revenue</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1,046</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1,115</w:t>
            </w:r>
          </w:p>
        </w:tc>
        <w:tc>
          <w:tcPr>
            <w:tcW w:w="113" w:type="dxa"/>
            <w:tcBorders/>
            <w:shd w:fill="CCEEFF" w:val="clear"/>
            <w:vAlign w:val="center"/>
          </w:tcPr>
          <w:p>
            <w:pPr>
              <w:pStyle w:val="TableContents"/>
              <w:bidi w:val="0"/>
              <w:spacing w:before="0" w:after="283"/>
              <w:jc w:val="left"/>
              <w:rPr/>
            </w:pPr>
            <w:r>
              <w:rPr/>
              <w:t> </w:t>
            </w:r>
            <w:bookmarkStart w:id="101" w:name="xdx_40D_eus-gaap--Revenues_hsrt--Product"/>
            <w:bookmarkEnd w:id="101"/>
          </w:p>
        </w:tc>
      </w:tr>
      <w:tr>
        <w:trPr/>
        <w:tc>
          <w:tcPr>
            <w:tcW w:w="7147" w:type="dxa"/>
            <w:tcBorders/>
            <w:shd w:fill="FFFFFF" w:val="clear"/>
            <w:vAlign w:val="center"/>
          </w:tcPr>
          <w:p>
            <w:pPr>
              <w:pStyle w:val="TableContents"/>
              <w:bidi w:val="0"/>
              <w:spacing w:before="0" w:after="283"/>
              <w:jc w:val="left"/>
              <w:rPr/>
            </w:pPr>
            <w:r>
              <w:rPr/>
              <w:t>Lease revenue</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657</w:t>
            </w:r>
          </w:p>
        </w:tc>
        <w:tc>
          <w:tcPr>
            <w:tcW w:w="11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67</w:t>
            </w:r>
          </w:p>
        </w:tc>
        <w:tc>
          <w:tcPr>
            <w:tcW w:w="113" w:type="dxa"/>
            <w:tcBorders/>
            <w:shd w:fill="FFFFFF" w:val="clear"/>
            <w:vAlign w:val="center"/>
          </w:tcPr>
          <w:p>
            <w:pPr>
              <w:pStyle w:val="TableContents"/>
              <w:bidi w:val="0"/>
              <w:spacing w:before="0" w:after="283"/>
              <w:jc w:val="left"/>
              <w:rPr/>
            </w:pPr>
            <w:r>
              <w:rPr/>
              <w:t> </w:t>
            </w:r>
            <w:bookmarkStart w:id="102" w:name="xdx_40E_eus-gaap--Revenues_maGPzwSO_z8Ah"/>
            <w:bookmarkEnd w:id="102"/>
          </w:p>
        </w:tc>
      </w:tr>
      <w:tr>
        <w:trPr/>
        <w:tc>
          <w:tcPr>
            <w:tcW w:w="7147"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1,703</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1,182</w:t>
            </w:r>
          </w:p>
        </w:tc>
        <w:tc>
          <w:tcPr>
            <w:tcW w:w="113" w:type="dxa"/>
            <w:tcBorders/>
            <w:shd w:fill="CCEEFF" w:val="clear"/>
            <w:vAlign w:val="center"/>
          </w:tcPr>
          <w:p>
            <w:pPr>
              <w:pStyle w:val="TableContents"/>
              <w:bidi w:val="0"/>
              <w:spacing w:before="0" w:after="283"/>
              <w:jc w:val="left"/>
              <w:rPr/>
            </w:pPr>
            <w:r>
              <w:rPr/>
              <w:t> </w:t>
            </w:r>
            <w:bookmarkStart w:id="103" w:name="xdx_40B_eus-gaap--CostOfRevenue_msGPzwSO"/>
            <w:bookmarkEnd w:id="103"/>
          </w:p>
        </w:tc>
      </w:tr>
      <w:tr>
        <w:trPr/>
        <w:tc>
          <w:tcPr>
            <w:tcW w:w="7147"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4,534</w:t>
            </w:r>
          </w:p>
        </w:tc>
        <w:tc>
          <w:tcPr>
            <w:tcW w:w="11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1,205</w:t>
            </w:r>
          </w:p>
        </w:tc>
        <w:tc>
          <w:tcPr>
            <w:tcW w:w="113" w:type="dxa"/>
            <w:tcBorders/>
            <w:shd w:fill="FFFFFF" w:val="clear"/>
            <w:vAlign w:val="center"/>
          </w:tcPr>
          <w:p>
            <w:pPr>
              <w:pStyle w:val="TableContents"/>
              <w:bidi w:val="0"/>
              <w:spacing w:before="0" w:after="283"/>
              <w:jc w:val="left"/>
              <w:rPr/>
            </w:pPr>
            <w:r>
              <w:rPr/>
              <w:t> </w:t>
            </w:r>
            <w:bookmarkStart w:id="104" w:name="xdx_40D_eus-gaap--GrossProfit_iT_mtGPzwS"/>
            <w:bookmarkEnd w:id="104"/>
          </w:p>
        </w:tc>
      </w:tr>
      <w:tr>
        <w:trPr/>
        <w:tc>
          <w:tcPr>
            <w:tcW w:w="7147"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(2,831</w:t>
            </w:r>
          </w:p>
        </w:tc>
        <w:tc>
          <w:tcPr>
            <w:tcW w:w="114"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(23</w:t>
            </w:r>
          </w:p>
        </w:tc>
        <w:tc>
          <w:tcPr>
            <w:tcW w:w="113" w:type="dxa"/>
            <w:tcBorders/>
            <w:shd w:fill="CCEEFF" w:val="clear"/>
            <w:vAlign w:val="center"/>
          </w:tcPr>
          <w:p>
            <w:pPr>
              <w:pStyle w:val="TableContents"/>
              <w:bidi w:val="0"/>
              <w:spacing w:before="0" w:after="283"/>
              <w:jc w:val="left"/>
              <w:rPr/>
            </w:pPr>
            <w:r>
              <w:rPr/>
              <w:t>)</w:t>
            </w:r>
          </w:p>
        </w:tc>
      </w:tr>
      <w:tr>
        <w:trPr/>
        <w:tc>
          <w:tcPr>
            <w:tcW w:w="71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05" w:name="xdx_40B_eus-gaap--OperatingExpenses_msCz"/>
            <w:bookmarkEnd w:id="105"/>
          </w:p>
        </w:tc>
      </w:tr>
      <w:tr>
        <w:trPr/>
        <w:tc>
          <w:tcPr>
            <w:tcW w:w="7147"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12,246</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7,055</w:t>
            </w:r>
          </w:p>
        </w:tc>
        <w:tc>
          <w:tcPr>
            <w:tcW w:w="113" w:type="dxa"/>
            <w:tcBorders/>
            <w:shd w:fill="CCEEFF" w:val="clear"/>
            <w:vAlign w:val="center"/>
          </w:tcPr>
          <w:p>
            <w:pPr>
              <w:pStyle w:val="TableContents"/>
              <w:bidi w:val="0"/>
              <w:spacing w:before="0" w:after="283"/>
              <w:jc w:val="left"/>
              <w:rPr/>
            </w:pPr>
            <w:r>
              <w:rPr/>
              <w:t> </w:t>
            </w:r>
            <w:bookmarkStart w:id="106" w:name="xdx_400_eus-gaap--OperatingIncomeLoss_iT"/>
            <w:bookmarkEnd w:id="106"/>
          </w:p>
        </w:tc>
      </w:tr>
      <w:tr>
        <w:trPr/>
        <w:tc>
          <w:tcPr>
            <w:tcW w:w="7147" w:type="dxa"/>
            <w:tcBorders/>
            <w:shd w:fill="FFFFFF" w:val="clear"/>
            <w:vAlign w:val="center"/>
          </w:tcPr>
          <w:p>
            <w:pPr>
              <w:pStyle w:val="TableContents"/>
              <w:bidi w:val="0"/>
              <w:spacing w:before="0" w:after="283"/>
              <w:jc w:val="left"/>
              <w:rPr/>
            </w:pPr>
            <w:r>
              <w:rPr/>
              <w:t>Operating loss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(15,077</w:t>
            </w:r>
          </w:p>
        </w:tc>
        <w:tc>
          <w:tcPr>
            <w:tcW w:w="114"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(7,078</w:t>
            </w:r>
          </w:p>
        </w:tc>
        <w:tc>
          <w:tcPr>
            <w:tcW w:w="113" w:type="dxa"/>
            <w:tcBorders/>
            <w:shd w:fill="FFFFFF" w:val="clear"/>
            <w:vAlign w:val="center"/>
          </w:tcPr>
          <w:p>
            <w:pPr>
              <w:pStyle w:val="TableContents"/>
              <w:bidi w:val="0"/>
              <w:spacing w:before="0" w:after="283"/>
              <w:jc w:val="left"/>
              <w:rPr/>
            </w:pPr>
            <w:r>
              <w:rPr/>
              <w:t>)</w:t>
            </w:r>
          </w:p>
        </w:tc>
      </w:tr>
      <w:tr>
        <w:trPr/>
        <w:tc>
          <w:tcPr>
            <w:tcW w:w="71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07" w:name="xdx_406_eus-gaap--InterestIncomeExpenseN"/>
            <w:bookmarkEnd w:id="107"/>
          </w:p>
        </w:tc>
      </w:tr>
      <w:tr>
        <w:trPr/>
        <w:tc>
          <w:tcPr>
            <w:tcW w:w="7147" w:type="dxa"/>
            <w:tcBorders/>
            <w:shd w:fill="FFFFFF" w:val="clear"/>
            <w:vAlign w:val="center"/>
          </w:tcPr>
          <w:p>
            <w:pPr>
              <w:pStyle w:val="TableContents"/>
              <w:bidi w:val="0"/>
              <w:spacing w:before="0" w:after="283"/>
              <w:jc w:val="left"/>
              <w:rPr/>
            </w:pPr>
            <w:r>
              <w:rPr/>
              <w:t>Interest income/(expense), net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(373</w:t>
            </w:r>
          </w:p>
        </w:tc>
        <w:tc>
          <w:tcPr>
            <w:tcW w:w="114"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(310</w:t>
            </w:r>
          </w:p>
        </w:tc>
        <w:tc>
          <w:tcPr>
            <w:tcW w:w="113" w:type="dxa"/>
            <w:tcBorders/>
            <w:shd w:fill="FFFFFF" w:val="clear"/>
            <w:vAlign w:val="center"/>
          </w:tcPr>
          <w:p>
            <w:pPr>
              <w:pStyle w:val="TableContents"/>
              <w:bidi w:val="0"/>
              <w:spacing w:before="0" w:after="283"/>
              <w:jc w:val="left"/>
              <w:rPr/>
            </w:pPr>
            <w:r>
              <w:rPr/>
              <w:t>)</w:t>
            </w:r>
            <w:bookmarkStart w:id="108" w:name="xdx_40A_ecustom--ChangeInFairValueOfFina"/>
            <w:bookmarkEnd w:id="108"/>
          </w:p>
        </w:tc>
      </w:tr>
      <w:tr>
        <w:trPr/>
        <w:tc>
          <w:tcPr>
            <w:tcW w:w="7147" w:type="dxa"/>
            <w:tcBorders/>
            <w:shd w:fill="CCEEFF" w:val="clear"/>
            <w:vAlign w:val="center"/>
          </w:tcPr>
          <w:p>
            <w:pPr>
              <w:pStyle w:val="TableContents"/>
              <w:bidi w:val="0"/>
              <w:spacing w:before="0" w:after="283"/>
              <w:jc w:val="left"/>
              <w:rPr/>
            </w:pPr>
            <w:r>
              <w:rPr/>
              <w:t>Change in fair value of derivative</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4,912</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09" w:name="xdx_401_eus-gaap--ForeignCurrencyTransac"/>
            <w:bookmarkEnd w:id="109"/>
          </w:p>
        </w:tc>
      </w:tr>
      <w:tr>
        <w:trPr/>
        <w:tc>
          <w:tcPr>
            <w:tcW w:w="7147" w:type="dxa"/>
            <w:tcBorders/>
            <w:shd w:fill="FFFFFF" w:val="clear"/>
            <w:vAlign w:val="center"/>
          </w:tcPr>
          <w:p>
            <w:pPr>
              <w:pStyle w:val="TableContents"/>
              <w:bidi w:val="0"/>
              <w:spacing w:before="0" w:after="283"/>
              <w:jc w:val="left"/>
              <w:rPr/>
            </w:pPr>
            <w:r>
              <w:rPr/>
              <w:t>Foreign exchange loss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11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10" w:name="xdx_406_eus-gaap--IncomeLossFromContinui"/>
            <w:bookmarkEnd w:id="110"/>
          </w:p>
        </w:tc>
      </w:tr>
      <w:tr>
        <w:trPr/>
        <w:tc>
          <w:tcPr>
            <w:tcW w:w="7147"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(10,537</w:t>
            </w:r>
          </w:p>
        </w:tc>
        <w:tc>
          <w:tcPr>
            <w:tcW w:w="114"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(7,388</w:t>
            </w:r>
          </w:p>
        </w:tc>
        <w:tc>
          <w:tcPr>
            <w:tcW w:w="113" w:type="dxa"/>
            <w:tcBorders/>
            <w:shd w:fill="CCEEFF" w:val="clear"/>
            <w:vAlign w:val="center"/>
          </w:tcPr>
          <w:p>
            <w:pPr>
              <w:pStyle w:val="TableContents"/>
              <w:bidi w:val="0"/>
              <w:spacing w:before="0" w:after="283"/>
              <w:jc w:val="left"/>
              <w:rPr/>
            </w:pPr>
            <w:r>
              <w:rPr/>
              <w:t>)</w:t>
            </w:r>
            <w:bookmarkStart w:id="111" w:name="xdx_409_eus-gaap--IncomeTaxExpenseBenefi"/>
            <w:bookmarkEnd w:id="111"/>
          </w:p>
        </w:tc>
      </w:tr>
      <w:tr>
        <w:trPr/>
        <w:tc>
          <w:tcPr>
            <w:tcW w:w="7147"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12" w:name="xdx_400_eus-gaap--NetIncomeLoss_iT_mtCzQ"/>
            <w:bookmarkEnd w:id="112"/>
          </w:p>
        </w:tc>
      </w:tr>
      <w:tr>
        <w:trPr/>
        <w:tc>
          <w:tcPr>
            <w:tcW w:w="7147"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(10,537</w:t>
            </w:r>
          </w:p>
        </w:tc>
        <w:tc>
          <w:tcPr>
            <w:tcW w:w="114"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(7,388</w:t>
            </w:r>
          </w:p>
        </w:tc>
        <w:tc>
          <w:tcPr>
            <w:tcW w:w="113" w:type="dxa"/>
            <w:tcBorders/>
            <w:shd w:fill="CCEEFF" w:val="clear"/>
            <w:vAlign w:val="center"/>
          </w:tcPr>
          <w:p>
            <w:pPr>
              <w:pStyle w:val="TableContents"/>
              <w:bidi w:val="0"/>
              <w:spacing w:before="0" w:after="283"/>
              <w:jc w:val="left"/>
              <w:rPr/>
            </w:pPr>
            <w:r>
              <w:rPr/>
              <w:t>)</w:t>
            </w:r>
          </w:p>
        </w:tc>
      </w:tr>
      <w:tr>
        <w:trPr/>
        <w:tc>
          <w:tcPr>
            <w:tcW w:w="7147" w:type="dxa"/>
            <w:tcBorders/>
            <w:shd w:fill="FFFFFF" w:val="clear"/>
            <w:vAlign w:val="center"/>
          </w:tcPr>
          <w:p>
            <w:pPr>
              <w:pStyle w:val="TableContents"/>
              <w:bidi w:val="0"/>
              <w:spacing w:before="0" w:after="283"/>
              <w:jc w:val="left"/>
              <w:rPr/>
            </w:pPr>
            <w:r>
              <w:rPr/>
              <w:t>Basic and diluted net loss per share</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13" w:name="xdx_901_eus-gaap--EarningsPerShareDilute"/>
            <w:bookmarkStart w:id="114" w:name="xdx_901_eus-gaap--EarningsPerShareBasic_"/>
            <w:bookmarkEnd w:id="113"/>
            <w:bookmarkEnd w:id="114"/>
            <w:r>
              <w:rPr/>
              <w:t>(1.28</w:t>
            </w:r>
          </w:p>
        </w:tc>
        <w:tc>
          <w:tcPr>
            <w:tcW w:w="114" w:type="dxa"/>
            <w:tcBorders/>
            <w:shd w:fill="FFFFFF" w:val="clear"/>
            <w:vAlign w:val="center"/>
          </w:tcPr>
          <w:p>
            <w:pPr>
              <w:pStyle w:val="TableContents"/>
              <w:bidi w:val="0"/>
              <w:spacing w:before="0" w:after="283"/>
              <w:jc w:val="left"/>
              <w:rPr/>
            </w:pPr>
            <w:r>
              <w:rPr/>
              <w:t>)</w:t>
            </w:r>
          </w:p>
        </w:tc>
        <w:tc>
          <w:tcPr>
            <w:tcW w:w="71"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115" w:name="xdx_90A_eus-gaap--EarningsPerShareDilute"/>
            <w:bookmarkStart w:id="116" w:name="xdx_900_eus-gaap--EarningsPerShareBasic_"/>
            <w:bookmarkEnd w:id="115"/>
            <w:bookmarkEnd w:id="116"/>
            <w:r>
              <w:rPr/>
              <w:t>(1.28</w:t>
            </w:r>
          </w:p>
        </w:tc>
        <w:tc>
          <w:tcPr>
            <w:tcW w:w="113" w:type="dxa"/>
            <w:tcBorders/>
            <w:shd w:fill="FFFFFF" w:val="clear"/>
            <w:vAlign w:val="center"/>
          </w:tcPr>
          <w:p>
            <w:pPr>
              <w:pStyle w:val="TableContents"/>
              <w:bidi w:val="0"/>
              <w:spacing w:before="0" w:after="283"/>
              <w:jc w:val="left"/>
              <w:rPr/>
            </w:pPr>
            <w:r>
              <w:rPr/>
              <w:t>)</w:t>
            </w:r>
          </w:p>
        </w:tc>
      </w:tr>
      <w:tr>
        <w:trPr/>
        <w:tc>
          <w:tcPr>
            <w:tcW w:w="7147" w:type="dxa"/>
            <w:tcBorders/>
            <w:shd w:fill="CCEEFF" w:val="clear"/>
            <w:vAlign w:val="center"/>
          </w:tcPr>
          <w:p>
            <w:pPr>
              <w:pStyle w:val="TableContents"/>
              <w:bidi w:val="0"/>
              <w:spacing w:before="0" w:after="283"/>
              <w:jc w:val="left"/>
              <w:rPr/>
            </w:pPr>
            <w:r>
              <w:rPr/>
              <w:t>Weighted average shares used to compute basic and diluted net loss per common share</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7" w:name="xdx_901_eus-gaap--WeightedAverageNumberO"/>
            <w:bookmarkStart w:id="118" w:name="xdx_901_eus-gaap--WeightedAverageNumberO"/>
            <w:bookmarkEnd w:id="117"/>
            <w:bookmarkEnd w:id="118"/>
            <w:r>
              <w:rPr/>
              <w:t>8,236,617</w:t>
            </w:r>
          </w:p>
        </w:tc>
        <w:tc>
          <w:tcPr>
            <w:tcW w:w="11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19" w:name="xdx_90A_eus-gaap--WeightedAverageNumberO"/>
            <w:bookmarkStart w:id="120" w:name="xdx_90C_eus-gaap--WeightedAverageNumberO"/>
            <w:bookmarkEnd w:id="119"/>
            <w:bookmarkEnd w:id="120"/>
            <w:r>
              <w:rPr/>
              <w:t>5,765,639</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1" w:name="a_005"/>
      <w:bookmarkEnd w:id="121"/>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Shareholders’ Equity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share data)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2" w:name="xdx_300_114_pn3n3_z40A7nlKo5Z1"/>
      <w:bookmarkStart w:id="123" w:name="xdx_300_114_pn3n3_z40A7nlKo5Z1"/>
      <w:bookmarkEnd w:id="123"/>
    </w:p>
    <w:tbl>
      <w:tblPr>
        <w:tblW w:w="11450" w:type="dxa"/>
        <w:jc w:val="left"/>
        <w:tblInd w:w="0" w:type="dxa"/>
        <w:tblLayout w:type="fixed"/>
        <w:tblCellMar>
          <w:top w:w="0" w:type="dxa"/>
          <w:left w:w="0" w:type="dxa"/>
          <w:bottom w:w="0" w:type="dxa"/>
          <w:right w:w="0" w:type="dxa"/>
        </w:tblCellMar>
      </w:tblPr>
      <w:tblGrid>
        <w:gridCol w:w="1340"/>
        <w:gridCol w:w="60"/>
        <w:gridCol w:w="60"/>
        <w:gridCol w:w="980"/>
        <w:gridCol w:w="60"/>
        <w:gridCol w:w="60"/>
        <w:gridCol w:w="231"/>
        <w:gridCol w:w="629"/>
        <w:gridCol w:w="60"/>
        <w:gridCol w:w="60"/>
        <w:gridCol w:w="60"/>
        <w:gridCol w:w="755"/>
        <w:gridCol w:w="95"/>
        <w:gridCol w:w="60"/>
        <w:gridCol w:w="155"/>
        <w:gridCol w:w="705"/>
        <w:gridCol w:w="95"/>
        <w:gridCol w:w="60"/>
        <w:gridCol w:w="163"/>
        <w:gridCol w:w="937"/>
        <w:gridCol w:w="60"/>
        <w:gridCol w:w="60"/>
        <w:gridCol w:w="188"/>
        <w:gridCol w:w="1182"/>
        <w:gridCol w:w="95"/>
        <w:gridCol w:w="60"/>
        <w:gridCol w:w="561"/>
        <w:gridCol w:w="1049"/>
        <w:gridCol w:w="60"/>
        <w:gridCol w:w="60"/>
        <w:gridCol w:w="209"/>
        <w:gridCol w:w="1131"/>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4" w:name="xdx_4B9_us-gaap--StatementEquityComponen"/>
            <w:bookmarkEnd w:id="124"/>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5" w:name="xdx_4B8_us-gaap--StatementEquityComponen"/>
            <w:bookmarkEnd w:id="125"/>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6" w:name="xdx_4B0_us-gaap--StatementEquityComponen"/>
            <w:bookmarkEnd w:id="126"/>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7" w:name="xdx_4B3_us-gaap--StatementEquityComponen"/>
            <w:bookmarkEnd w:id="127"/>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8" w:name="xdx_4B4_us-gaap--StatementEquityComponen"/>
            <w:bookmarkEnd w:id="128"/>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9" w:name="xdx_4BF_zUAvpsAeemlk"/>
            <w:bookmarkEnd w:id="129"/>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0" w:type="dxa"/>
            <w:gridSpan w:val="30"/>
            <w:tcBorders>
              <w:bottom w:val="single" w:sz="8" w:space="0" w:color="000000"/>
            </w:tcBorders>
            <w:tcMar>
              <w:bottom w:w="28" w:type="dxa"/>
            </w:tcMar>
            <w:vAlign w:val="center"/>
          </w:tcPr>
          <w:p>
            <w:pPr>
              <w:pStyle w:val="TableContents"/>
              <w:bidi w:val="0"/>
              <w:spacing w:before="0" w:after="283"/>
              <w:jc w:val="center"/>
              <w:rPr>
                <w:b/>
              </w:rPr>
            </w:pPr>
            <w:r>
              <w:rPr>
                <w:b/>
              </w:rPr>
              <w:t>Three months Ended July 31, 2026</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Treasury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 Other 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 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30" w:name="xdx_435_c20260501__20260731_eus-gaap--St"/>
            <w:bookmarkEnd w:id="130"/>
          </w:p>
        </w:tc>
      </w:tr>
      <w:tr>
        <w:trPr/>
        <w:tc>
          <w:tcPr>
            <w:tcW w:w="1340" w:type="dxa"/>
            <w:tcBorders/>
            <w:shd w:fill="CCEEFF" w:val="clear"/>
            <w:vAlign w:val="center"/>
          </w:tcPr>
          <w:p>
            <w:pPr>
              <w:pStyle w:val="TableContents"/>
              <w:bidi w:val="0"/>
              <w:spacing w:before="0" w:after="283"/>
              <w:jc w:val="left"/>
              <w:rPr/>
            </w:pPr>
            <w:r>
              <w:rPr/>
              <w:t>Balance at May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1" w:name="xdx_98C_eus-gaap--SharesOutstanding_iS_p"/>
            <w:bookmarkEnd w:id="131"/>
          </w:p>
        </w:tc>
        <w:tc>
          <w:tcPr>
            <w:tcW w:w="980" w:type="dxa"/>
            <w:tcBorders/>
            <w:shd w:fill="CCEEFF" w:val="clear"/>
            <w:vAlign w:val="center"/>
          </w:tcPr>
          <w:p>
            <w:pPr>
              <w:pStyle w:val="TableContents"/>
              <w:bidi w:val="0"/>
              <w:spacing w:before="0" w:after="283"/>
              <w:jc w:val="right"/>
              <w:rPr/>
            </w:pPr>
            <w:r>
              <w:rPr/>
              <w:t>7,704,867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2" w:name="xdx_98D_eus-gaap--TreasuryStockCommonSha"/>
            <w:bookmarkEnd w:id="132"/>
          </w:p>
        </w:tc>
        <w:tc>
          <w:tcPr>
            <w:tcW w:w="755" w:type="dxa"/>
            <w:tcBorders/>
            <w:shd w:fill="CCEEFF" w:val="clear"/>
            <w:vAlign w:val="center"/>
          </w:tcPr>
          <w:p>
            <w:pPr>
              <w:pStyle w:val="TableContents"/>
              <w:bidi w:val="0"/>
              <w:spacing w:before="0" w:after="283"/>
              <w:jc w:val="right"/>
              <w:rPr/>
            </w:pPr>
            <w:r>
              <w:rPr/>
              <w:t>(89,531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(1,825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395,031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(380,961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pPr>
            <w:r>
              <w:rPr/>
              <w:t>$</w:t>
            </w:r>
          </w:p>
        </w:tc>
        <w:tc>
          <w:tcPr>
            <w:tcW w:w="104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12,476</w:t>
            </w:r>
          </w:p>
        </w:tc>
        <w:tc>
          <w:tcPr>
            <w:tcW w:w="110" w:type="dxa"/>
            <w:tcBorders/>
            <w:shd w:fill="CCEEFF" w:val="clear"/>
            <w:vAlign w:val="center"/>
          </w:tcPr>
          <w:p>
            <w:pPr>
              <w:pStyle w:val="TableContents"/>
              <w:bidi w:val="0"/>
              <w:spacing w:before="0" w:after="283"/>
              <w:jc w:val="left"/>
              <w:rPr/>
            </w:pPr>
            <w:r>
              <w:rPr/>
              <w:t> </w:t>
            </w:r>
            <w:bookmarkStart w:id="133" w:name="xdx_407_eus-gaap--NetIncomeLoss_zwRrLRKX"/>
            <w:bookmarkEnd w:id="133"/>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(10,537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(10,537</w:t>
            </w:r>
          </w:p>
        </w:tc>
        <w:tc>
          <w:tcPr>
            <w:tcW w:w="110" w:type="dxa"/>
            <w:tcBorders/>
            <w:shd w:fill="FFFFFF" w:val="clear"/>
            <w:vAlign w:val="center"/>
          </w:tcPr>
          <w:p>
            <w:pPr>
              <w:pStyle w:val="TableContents"/>
              <w:bidi w:val="0"/>
              <w:spacing w:before="0" w:after="283"/>
              <w:jc w:val="left"/>
              <w:rPr/>
            </w:pPr>
            <w:r>
              <w:rPr/>
              <w:t>)</w:t>
            </w:r>
            <w:bookmarkStart w:id="134" w:name="xdx_40D_eus-gaap--AdjustmentsToAdditiona"/>
            <w:bookmarkEnd w:id="134"/>
          </w:p>
        </w:tc>
      </w:tr>
      <w:tr>
        <w:trPr/>
        <w:tc>
          <w:tcPr>
            <w:tcW w:w="134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1,829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1,829</w:t>
            </w:r>
          </w:p>
        </w:tc>
        <w:tc>
          <w:tcPr>
            <w:tcW w:w="110" w:type="dxa"/>
            <w:tcBorders/>
            <w:shd w:fill="CCEEFF" w:val="clear"/>
            <w:vAlign w:val="center"/>
          </w:tcPr>
          <w:p>
            <w:pPr>
              <w:pStyle w:val="TableContents"/>
              <w:bidi w:val="0"/>
              <w:spacing w:before="0" w:after="283"/>
              <w:jc w:val="left"/>
              <w:rPr/>
            </w:pPr>
            <w:r>
              <w:rPr/>
              <w:t> </w:t>
            </w:r>
            <w:bookmarkStart w:id="135" w:name="xdx_401_ecustom--StockIssuedDuringPeriod"/>
            <w:bookmarkEnd w:id="135"/>
          </w:p>
        </w:tc>
      </w:tr>
      <w:tr>
        <w:trPr/>
        <w:tc>
          <w:tcPr>
            <w:tcW w:w="1340" w:type="dxa"/>
            <w:tcBorders/>
            <w:shd w:fill="FFFFFF" w:val="clear"/>
            <w:vAlign w:val="center"/>
          </w:tcPr>
          <w:p>
            <w:pPr>
              <w:pStyle w:val="TableContents"/>
              <w:bidi w:val="0"/>
              <w:spacing w:before="0" w:after="283"/>
              <w:jc w:val="left"/>
              <w:rPr/>
            </w:pPr>
            <w:r>
              <w:rPr/>
              <w:t>Issuance of common stock – At The Market Offering,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6" w:name="xdx_98B_ecustom--StockIssuedDuringPeriod"/>
            <w:bookmarkEnd w:id="136"/>
          </w:p>
        </w:tc>
        <w:tc>
          <w:tcPr>
            <w:tcW w:w="980" w:type="dxa"/>
            <w:tcBorders/>
            <w:shd w:fill="FFFFFF" w:val="clear"/>
            <w:vAlign w:val="center"/>
          </w:tcPr>
          <w:p>
            <w:pPr>
              <w:pStyle w:val="TableContents"/>
              <w:bidi w:val="0"/>
              <w:spacing w:before="0" w:after="283"/>
              <w:jc w:val="right"/>
              <w:rPr/>
            </w:pPr>
            <w:r>
              <w:rPr/>
              <w:t>189,796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1,399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1,405</w:t>
            </w:r>
          </w:p>
        </w:tc>
        <w:tc>
          <w:tcPr>
            <w:tcW w:w="110" w:type="dxa"/>
            <w:tcBorders/>
            <w:shd w:fill="FFFFFF" w:val="clear"/>
            <w:vAlign w:val="center"/>
          </w:tcPr>
          <w:p>
            <w:pPr>
              <w:pStyle w:val="TableContents"/>
              <w:bidi w:val="0"/>
              <w:spacing w:before="0" w:after="283"/>
              <w:jc w:val="left"/>
              <w:rPr/>
            </w:pPr>
            <w:r>
              <w:rPr/>
              <w:t> </w:t>
            </w:r>
            <w:bookmarkStart w:id="137" w:name="xdx_404_eus-gaap--StockIssuedDuringPerio"/>
            <w:bookmarkEnd w:id="137"/>
          </w:p>
        </w:tc>
      </w:tr>
      <w:tr>
        <w:trPr/>
        <w:tc>
          <w:tcPr>
            <w:tcW w:w="1340" w:type="dxa"/>
            <w:tcBorders/>
            <w:shd w:fill="CCEEFF" w:val="clear"/>
            <w:vAlign w:val="center"/>
          </w:tcPr>
          <w:p>
            <w:pPr>
              <w:pStyle w:val="TableContents"/>
              <w:bidi w:val="0"/>
              <w:spacing w:before="0" w:after="283"/>
              <w:jc w:val="left"/>
              <w:rPr/>
            </w:pPr>
            <w:r>
              <w:rPr/>
              <w:t>Issuance of common stock – Asset Acquisition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8" w:name="xdx_981_eus-gaap--StockIssuedDuringPerio"/>
            <w:bookmarkEnd w:id="138"/>
          </w:p>
        </w:tc>
        <w:tc>
          <w:tcPr>
            <w:tcW w:w="980" w:type="dxa"/>
            <w:tcBorders/>
            <w:shd w:fill="CCEEFF" w:val="clear"/>
            <w:vAlign w:val="center"/>
          </w:tcPr>
          <w:p>
            <w:pPr>
              <w:pStyle w:val="TableContents"/>
              <w:bidi w:val="0"/>
              <w:spacing w:before="0" w:after="283"/>
              <w:jc w:val="right"/>
              <w:rPr/>
            </w:pPr>
            <w:r>
              <w:rPr/>
              <w:t>336,162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1,991</w:t>
            </w:r>
          </w:p>
        </w:tc>
        <w:tc>
          <w:tcPr>
            <w:tcW w:w="110" w:type="dxa"/>
            <w:tcBorders/>
            <w:shd w:fill="CCEEFF" w:val="clear"/>
            <w:vAlign w:val="center"/>
          </w:tcPr>
          <w:p>
            <w:pPr>
              <w:pStyle w:val="TableContents"/>
              <w:bidi w:val="0"/>
              <w:spacing w:before="0" w:after="283"/>
              <w:jc w:val="left"/>
              <w:rPr/>
            </w:pPr>
            <w:r>
              <w:rPr/>
              <w:t> </w:t>
            </w:r>
            <w:bookmarkStart w:id="139" w:name="xdx_40A_ecustom--StockIssuedDuringPeriod"/>
            <w:bookmarkEnd w:id="139"/>
          </w:p>
        </w:tc>
      </w:tr>
      <w:tr>
        <w:trPr/>
        <w:tc>
          <w:tcPr>
            <w:tcW w:w="1340" w:type="dxa"/>
            <w:tcBorders/>
            <w:shd w:fill="FFFFFF" w:val="clear"/>
            <w:vAlign w:val="center"/>
          </w:tcPr>
          <w:p>
            <w:pPr>
              <w:pStyle w:val="TableContents"/>
              <w:bidi w:val="0"/>
              <w:spacing w:before="0" w:after="283"/>
              <w:jc w:val="left"/>
              <w:rPr/>
            </w:pPr>
            <w:r>
              <w:rPr/>
              <w:t>Issuance of common stock – Capital Raise,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40" w:name="xdx_987_ecustom--StockIssuedDuringPeriod"/>
            <w:bookmarkEnd w:id="140"/>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833,334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FFFFFF" w:val="clear"/>
            <w:tcMar>
              <w:bottom w:w="28" w:type="dxa"/>
            </w:tcMar>
            <w:vAlign w:val="center"/>
          </w:tcPr>
          <w:p>
            <w:pPr>
              <w:pStyle w:val="TableContents"/>
              <w:bidi w:val="0"/>
              <w:spacing w:before="0" w:after="283"/>
              <w:jc w:val="right"/>
              <w:rPr/>
            </w:pPr>
            <w:r>
              <w:rPr/>
              <w:t>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1,264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FFFFFF" w:val="clear"/>
            <w:tcMar>
              <w:bottom w:w="28" w:type="dxa"/>
            </w:tcMar>
            <w:vAlign w:val="center"/>
          </w:tcPr>
          <w:p>
            <w:pPr>
              <w:pStyle w:val="TableContents"/>
              <w:bidi w:val="0"/>
              <w:spacing w:before="0" w:after="283"/>
              <w:jc w:val="right"/>
              <w:rPr/>
            </w:pPr>
            <w:r>
              <w:rPr/>
              <w:t>1,289</w:t>
            </w:r>
          </w:p>
        </w:tc>
        <w:tc>
          <w:tcPr>
            <w:tcW w:w="110" w:type="dxa"/>
            <w:tcBorders/>
            <w:shd w:fill="FFFFFF" w:val="clear"/>
            <w:vAlign w:val="center"/>
          </w:tcPr>
          <w:p>
            <w:pPr>
              <w:pStyle w:val="TableContents"/>
              <w:bidi w:val="0"/>
              <w:spacing w:before="0" w:after="283"/>
              <w:jc w:val="left"/>
              <w:rPr/>
            </w:pPr>
            <w:r>
              <w:rPr/>
              <w:t> </w:t>
            </w:r>
            <w:bookmarkStart w:id="141" w:name="xdx_43F_c20260501__20260731_eus-gaap--St"/>
            <w:bookmarkEnd w:id="141"/>
          </w:p>
        </w:tc>
      </w:tr>
      <w:tr>
        <w:trPr/>
        <w:tc>
          <w:tcPr>
            <w:tcW w:w="1340" w:type="dxa"/>
            <w:tcBorders/>
            <w:shd w:fill="CCEEFF" w:val="clear"/>
            <w:vAlign w:val="center"/>
          </w:tcPr>
          <w:p>
            <w:pPr>
              <w:pStyle w:val="TableContents"/>
              <w:bidi w:val="0"/>
              <w:spacing w:before="0" w:after="283"/>
              <w:jc w:val="left"/>
              <w:rPr/>
            </w:pPr>
            <w:r>
              <w:rPr/>
              <w:t>Balances at July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2" w:name="xdx_98B_eus-gaap--SharesOutstanding_iE_p"/>
            <w:bookmarkEnd w:id="142"/>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9,094,159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pPr>
            <w:r>
              <w:rPr/>
              <w:t>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3" w:name="xdx_986_eus-gaap--TreasuryStockCommonSha"/>
            <w:bookmarkEnd w:id="143"/>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(89,531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5" w:type="dxa"/>
            <w:tcBorders>
              <w:bottom w:val="double" w:sz="6" w:space="0" w:color="000000"/>
            </w:tcBorders>
            <w:shd w:fill="CCEEFF" w:val="clear"/>
            <w:tcMar>
              <w:bottom w:w="28" w:type="dxa"/>
            </w:tcMar>
            <w:vAlign w:val="center"/>
          </w:tcPr>
          <w:p>
            <w:pPr>
              <w:pStyle w:val="TableContents"/>
              <w:bidi w:val="0"/>
              <w:spacing w:before="0" w:after="283"/>
              <w:jc w:val="right"/>
              <w:rPr/>
            </w:pPr>
            <w:r>
              <w:rPr/>
              <w:t>(1,825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pPr>
            <w:r>
              <w:rPr/>
              <w:t>401,503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pPr>
            <w:r>
              <w:rPr/>
              <w:t>(391,498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1" w:type="dxa"/>
            <w:tcBorders>
              <w:bottom w:val="double" w:sz="6" w:space="0" w:color="000000"/>
            </w:tcBorders>
            <w:shd w:fill="CCEEFF" w:val="clear"/>
            <w:tcMar>
              <w:bottom w:w="28" w:type="dxa"/>
            </w:tcMar>
            <w:vAlign w:val="center"/>
          </w:tcPr>
          <w:p>
            <w:pPr>
              <w:pStyle w:val="TableContents"/>
              <w:bidi w:val="0"/>
              <w:spacing w:before="0" w:after="283"/>
              <w:jc w:val="right"/>
              <w:rPr/>
            </w:pPr>
            <w:r>
              <w:rPr/>
              <w:t>8,453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1450" w:type="dxa"/>
        <w:jc w:val="left"/>
        <w:tblInd w:w="0" w:type="dxa"/>
        <w:tblLayout w:type="fixed"/>
        <w:tblCellMar>
          <w:top w:w="0" w:type="dxa"/>
          <w:left w:w="0" w:type="dxa"/>
          <w:bottom w:w="0" w:type="dxa"/>
          <w:right w:w="0" w:type="dxa"/>
        </w:tblCellMar>
      </w:tblPr>
      <w:tblGrid>
        <w:gridCol w:w="1340"/>
        <w:gridCol w:w="60"/>
        <w:gridCol w:w="60"/>
        <w:gridCol w:w="980"/>
        <w:gridCol w:w="60"/>
        <w:gridCol w:w="60"/>
        <w:gridCol w:w="231"/>
        <w:gridCol w:w="629"/>
        <w:gridCol w:w="60"/>
        <w:gridCol w:w="60"/>
        <w:gridCol w:w="60"/>
        <w:gridCol w:w="755"/>
        <w:gridCol w:w="95"/>
        <w:gridCol w:w="60"/>
        <w:gridCol w:w="155"/>
        <w:gridCol w:w="705"/>
        <w:gridCol w:w="95"/>
        <w:gridCol w:w="60"/>
        <w:gridCol w:w="163"/>
        <w:gridCol w:w="937"/>
        <w:gridCol w:w="60"/>
        <w:gridCol w:w="60"/>
        <w:gridCol w:w="188"/>
        <w:gridCol w:w="1182"/>
        <w:gridCol w:w="95"/>
        <w:gridCol w:w="60"/>
        <w:gridCol w:w="563"/>
        <w:gridCol w:w="1047"/>
        <w:gridCol w:w="60"/>
        <w:gridCol w:w="60"/>
        <w:gridCol w:w="228"/>
        <w:gridCol w:w="1112"/>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940" w:type="dxa"/>
            <w:gridSpan w:val="30"/>
            <w:tcBorders>
              <w:bottom w:val="single" w:sz="8" w:space="0" w:color="000000"/>
            </w:tcBorders>
            <w:tcMar>
              <w:bottom w:w="28" w:type="dxa"/>
            </w:tcMar>
            <w:vAlign w:val="center"/>
          </w:tcPr>
          <w:p>
            <w:pPr>
              <w:pStyle w:val="TableContents"/>
              <w:bidi w:val="0"/>
              <w:spacing w:before="0" w:after="283"/>
              <w:jc w:val="center"/>
              <w:rPr>
                <w:b/>
              </w:rPr>
            </w:pPr>
            <w:r>
              <w:rPr>
                <w:b/>
              </w:rPr>
              <w:t>Three months Ended July 31, 2025</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Treasury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 Other 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 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44" w:name="xdx_436_c20250501__20250731_eus-gaap--St"/>
            <w:bookmarkEnd w:id="144"/>
          </w:p>
        </w:tc>
      </w:tr>
      <w:tr>
        <w:trPr/>
        <w:tc>
          <w:tcPr>
            <w:tcW w:w="1340" w:type="dxa"/>
            <w:tcBorders/>
            <w:shd w:fill="CCEEFF" w:val="clear"/>
            <w:vAlign w:val="center"/>
          </w:tcPr>
          <w:p>
            <w:pPr>
              <w:pStyle w:val="TableContents"/>
              <w:bidi w:val="0"/>
              <w:spacing w:before="0" w:after="283"/>
              <w:jc w:val="left"/>
              <w:rPr/>
            </w:pPr>
            <w:r>
              <w:rPr/>
              <w:t>Balance at May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5" w:name="xdx_988_eus-gaap--SharesOutstanding_iS_p"/>
            <w:bookmarkEnd w:id="145"/>
          </w:p>
        </w:tc>
        <w:tc>
          <w:tcPr>
            <w:tcW w:w="980" w:type="dxa"/>
            <w:tcBorders/>
            <w:shd w:fill="CCEEFF" w:val="clear"/>
            <w:vAlign w:val="center"/>
          </w:tcPr>
          <w:p>
            <w:pPr>
              <w:pStyle w:val="TableContents"/>
              <w:bidi w:val="0"/>
              <w:spacing w:before="0" w:after="283"/>
              <w:jc w:val="right"/>
              <w:rPr/>
            </w:pPr>
            <w:r>
              <w:rPr/>
              <w:t>5,735,019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6" w:name="xdx_98C_eus-gaap--TreasuryStockCommonSha"/>
            <w:bookmarkEnd w:id="146"/>
          </w:p>
        </w:tc>
        <w:tc>
          <w:tcPr>
            <w:tcW w:w="755" w:type="dxa"/>
            <w:tcBorders/>
            <w:shd w:fill="CCEEFF" w:val="clear"/>
            <w:vAlign w:val="center"/>
          </w:tcPr>
          <w:p>
            <w:pPr>
              <w:pStyle w:val="TableContents"/>
              <w:bidi w:val="0"/>
              <w:spacing w:before="0" w:after="283"/>
              <w:jc w:val="right"/>
              <w:rPr/>
            </w:pPr>
            <w:r>
              <w:rPr/>
              <w:t>(26,250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(1,018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359,544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(332,046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26,652</w:t>
            </w:r>
          </w:p>
        </w:tc>
        <w:tc>
          <w:tcPr>
            <w:tcW w:w="110" w:type="dxa"/>
            <w:tcBorders/>
            <w:shd w:fill="CCEEFF" w:val="clear"/>
            <w:vAlign w:val="center"/>
          </w:tcPr>
          <w:p>
            <w:pPr>
              <w:pStyle w:val="TableContents"/>
              <w:bidi w:val="0"/>
              <w:spacing w:before="0" w:after="283"/>
              <w:jc w:val="left"/>
              <w:rPr/>
            </w:pPr>
            <w:r>
              <w:rPr/>
              <w:t> </w:t>
            </w:r>
            <w:bookmarkStart w:id="147" w:name="xdx_43D_c20250501__20250731_eus-gaap--St"/>
            <w:bookmarkEnd w:id="147"/>
          </w:p>
        </w:tc>
      </w:tr>
      <w:tr>
        <w:trPr/>
        <w:tc>
          <w:tcPr>
            <w:tcW w:w="1340" w:type="dxa"/>
            <w:tcBorders/>
            <w:shd w:fill="CCEEFF" w:val="clear"/>
            <w:vAlign w:val="center"/>
          </w:tcPr>
          <w:p>
            <w:pPr>
              <w:pStyle w:val="TableContents"/>
              <w:bidi w:val="0"/>
              <w:spacing w:before="0" w:after="283"/>
              <w:jc w:val="left"/>
              <w:rPr/>
            </w:pPr>
            <w:r>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8" w:name="xdx_988_eus-gaap--SharesOutstanding_iS_p"/>
            <w:bookmarkEnd w:id="148"/>
          </w:p>
        </w:tc>
        <w:tc>
          <w:tcPr>
            <w:tcW w:w="980" w:type="dxa"/>
            <w:tcBorders/>
            <w:shd w:fill="CCEEFF" w:val="clear"/>
            <w:vAlign w:val="center"/>
          </w:tcPr>
          <w:p>
            <w:pPr>
              <w:pStyle w:val="TableContents"/>
              <w:bidi w:val="0"/>
              <w:spacing w:before="0" w:after="283"/>
              <w:jc w:val="right"/>
              <w:rPr/>
            </w:pPr>
            <w:r>
              <w:rPr/>
              <w:t>5,735,019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9" w:name="xdx_989_eus-gaap--TreasuryStockCommonSha"/>
            <w:bookmarkEnd w:id="149"/>
          </w:p>
        </w:tc>
        <w:tc>
          <w:tcPr>
            <w:tcW w:w="755" w:type="dxa"/>
            <w:tcBorders/>
            <w:shd w:fill="CCEEFF" w:val="clear"/>
            <w:vAlign w:val="center"/>
          </w:tcPr>
          <w:p>
            <w:pPr>
              <w:pStyle w:val="TableContents"/>
              <w:bidi w:val="0"/>
              <w:spacing w:before="0" w:after="283"/>
              <w:jc w:val="right"/>
              <w:rPr/>
            </w:pPr>
            <w:r>
              <w:rPr/>
              <w:t>(26,250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(1,018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359,544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(332,046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w:t>
            </w:r>
          </w:p>
        </w:tc>
        <w:tc>
          <w:tcPr>
            <w:tcW w:w="10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26,652</w:t>
            </w:r>
          </w:p>
        </w:tc>
        <w:tc>
          <w:tcPr>
            <w:tcW w:w="110" w:type="dxa"/>
            <w:tcBorders/>
            <w:shd w:fill="CCEEFF" w:val="clear"/>
            <w:vAlign w:val="center"/>
          </w:tcPr>
          <w:p>
            <w:pPr>
              <w:pStyle w:val="TableContents"/>
              <w:bidi w:val="0"/>
              <w:spacing w:before="0" w:after="283"/>
              <w:jc w:val="left"/>
              <w:rPr/>
            </w:pPr>
            <w:r>
              <w:rPr/>
              <w:t> </w:t>
            </w:r>
            <w:bookmarkStart w:id="150" w:name="xdx_407_eus-gaap--NetIncomeLoss_zXfFjgQS"/>
            <w:bookmarkEnd w:id="150"/>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(7,388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(7,388</w:t>
            </w:r>
          </w:p>
        </w:tc>
        <w:tc>
          <w:tcPr>
            <w:tcW w:w="110" w:type="dxa"/>
            <w:tcBorders/>
            <w:shd w:fill="FFFFFF" w:val="clear"/>
            <w:vAlign w:val="center"/>
          </w:tcPr>
          <w:p>
            <w:pPr>
              <w:pStyle w:val="TableContents"/>
              <w:bidi w:val="0"/>
              <w:spacing w:before="0" w:after="283"/>
              <w:jc w:val="left"/>
              <w:rPr/>
            </w:pPr>
            <w:r>
              <w:rPr/>
              <w:t>)</w:t>
            </w:r>
            <w:bookmarkStart w:id="151" w:name="xdx_40D_eus-gaap--AdjustmentsToAdditiona"/>
            <w:bookmarkEnd w:id="151"/>
          </w:p>
        </w:tc>
      </w:tr>
      <w:tr>
        <w:trPr/>
        <w:tc>
          <w:tcPr>
            <w:tcW w:w="134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2,399</w:t>
            </w:r>
          </w:p>
        </w:tc>
        <w:tc>
          <w:tcPr>
            <w:tcW w:w="110" w:type="dxa"/>
            <w:tcBorders/>
            <w:shd w:fill="CCEEFF" w:val="clear"/>
            <w:vAlign w:val="center"/>
          </w:tcPr>
          <w:p>
            <w:pPr>
              <w:pStyle w:val="TableContents"/>
              <w:bidi w:val="0"/>
              <w:spacing w:before="0" w:after="283"/>
              <w:jc w:val="left"/>
              <w:rPr/>
            </w:pPr>
            <w:r>
              <w:rPr/>
              <w:t> </w:t>
            </w:r>
            <w:bookmarkStart w:id="152" w:name="xdx_401_ecustom--StockIssuedDuringPeriod"/>
            <w:bookmarkEnd w:id="152"/>
          </w:p>
        </w:tc>
      </w:tr>
      <w:tr>
        <w:trPr/>
        <w:tc>
          <w:tcPr>
            <w:tcW w:w="1340" w:type="dxa"/>
            <w:tcBorders/>
            <w:shd w:fill="FFFFFF" w:val="clear"/>
            <w:vAlign w:val="center"/>
          </w:tcPr>
          <w:p>
            <w:pPr>
              <w:pStyle w:val="TableContents"/>
              <w:bidi w:val="0"/>
              <w:spacing w:before="0" w:after="283"/>
              <w:jc w:val="left"/>
              <w:rPr/>
            </w:pPr>
            <w:r>
              <w:rPr/>
              <w:t>Issuance of common stock – At The Market Offering,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3" w:name="xdx_983_ecustom--StockIssuedDuringPeriod"/>
            <w:bookmarkEnd w:id="153"/>
          </w:p>
        </w:tc>
        <w:tc>
          <w:tcPr>
            <w:tcW w:w="980" w:type="dxa"/>
            <w:tcBorders/>
            <w:shd w:fill="FFFFFF" w:val="clear"/>
            <w:vAlign w:val="center"/>
          </w:tcPr>
          <w:p>
            <w:pPr>
              <w:pStyle w:val="TableContents"/>
              <w:bidi w:val="0"/>
              <w:spacing w:before="0" w:after="283"/>
              <w:jc w:val="right"/>
              <w:rPr/>
            </w:pPr>
            <w:r>
              <w:rPr/>
              <w:t>23,165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338</w:t>
            </w:r>
          </w:p>
        </w:tc>
        <w:tc>
          <w:tcPr>
            <w:tcW w:w="110" w:type="dxa"/>
            <w:tcBorders/>
            <w:shd w:fill="FFFFFF" w:val="clear"/>
            <w:vAlign w:val="center"/>
          </w:tcPr>
          <w:p>
            <w:pPr>
              <w:pStyle w:val="TableContents"/>
              <w:bidi w:val="0"/>
              <w:spacing w:before="0" w:after="283"/>
              <w:jc w:val="left"/>
              <w:rPr/>
            </w:pPr>
            <w:r>
              <w:rPr/>
              <w:t> </w:t>
            </w:r>
            <w:bookmarkStart w:id="154" w:name="xdx_405_eus-gaap--StockIssuedDuringPerio"/>
            <w:bookmarkEnd w:id="154"/>
          </w:p>
        </w:tc>
      </w:tr>
      <w:tr>
        <w:trPr/>
        <w:tc>
          <w:tcPr>
            <w:tcW w:w="1340" w:type="dxa"/>
            <w:tcBorders/>
            <w:shd w:fill="CCEEFF" w:val="clear"/>
            <w:vAlign w:val="center"/>
          </w:tcPr>
          <w:p>
            <w:pPr>
              <w:pStyle w:val="TableContents"/>
              <w:bidi w:val="0"/>
              <w:spacing w:before="0" w:after="283"/>
              <w:jc w:val="left"/>
              <w:rPr/>
            </w:pPr>
            <w:r>
              <w:rPr/>
              <w:t>Issuance of common stock - Convertible Debt,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55" w:name="xdx_989_eus-gaap--StockIssuedDuringPerio"/>
            <w:bookmarkEnd w:id="155"/>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185,558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2,184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2,189</w:t>
            </w:r>
          </w:p>
        </w:tc>
        <w:tc>
          <w:tcPr>
            <w:tcW w:w="110" w:type="dxa"/>
            <w:tcBorders/>
            <w:shd w:fill="CCEEFF" w:val="clear"/>
            <w:vAlign w:val="center"/>
          </w:tcPr>
          <w:p>
            <w:pPr>
              <w:pStyle w:val="TableContents"/>
              <w:bidi w:val="0"/>
              <w:spacing w:before="0" w:after="283"/>
              <w:jc w:val="left"/>
              <w:rPr/>
            </w:pPr>
            <w:r>
              <w:rPr/>
              <w:t> </w:t>
            </w:r>
            <w:bookmarkStart w:id="156" w:name="xdx_435_c20250501__20250731_eus-gaap--St"/>
            <w:bookmarkEnd w:id="156"/>
          </w:p>
        </w:tc>
      </w:tr>
      <w:tr>
        <w:trPr/>
        <w:tc>
          <w:tcPr>
            <w:tcW w:w="1340" w:type="dxa"/>
            <w:tcBorders/>
            <w:shd w:fill="FFFFFF" w:val="clear"/>
            <w:vAlign w:val="center"/>
          </w:tcPr>
          <w:p>
            <w:pPr>
              <w:pStyle w:val="TableContents"/>
              <w:bidi w:val="0"/>
              <w:spacing w:before="0" w:after="283"/>
              <w:jc w:val="left"/>
              <w:rPr/>
            </w:pPr>
            <w:r>
              <w:rPr/>
              <w:t>Balances at July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7" w:name="xdx_98B_eus-gaap--SharesOutstanding_iE_p"/>
            <w:bookmarkEnd w:id="157"/>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5,943,742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pPr>
            <w:r>
              <w:rPr/>
              <w:t>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8" w:name="xdx_98E_eus-gaap--TreasuryStockCommonSha"/>
            <w:bookmarkEnd w:id="158"/>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(26,250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05" w:type="dxa"/>
            <w:tcBorders>
              <w:bottom w:val="double" w:sz="6" w:space="0" w:color="000000"/>
            </w:tcBorders>
            <w:shd w:fill="FFFFFF" w:val="clear"/>
            <w:tcMar>
              <w:bottom w:w="28" w:type="dxa"/>
            </w:tcMar>
            <w:vAlign w:val="center"/>
          </w:tcPr>
          <w:p>
            <w:pPr>
              <w:pStyle w:val="TableContents"/>
              <w:bidi w:val="0"/>
              <w:spacing w:before="0" w:after="283"/>
              <w:jc w:val="right"/>
              <w:rPr/>
            </w:pPr>
            <w:r>
              <w:rPr/>
              <w:t>(1,018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pPr>
            <w:r>
              <w:rPr/>
              <w:t>364,464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pPr>
            <w:r>
              <w:rPr/>
              <w:t>(339,434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47"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FFFFFF" w:val="clear"/>
            <w:tcMar>
              <w:bottom w:w="28" w:type="dxa"/>
            </w:tcMar>
            <w:vAlign w:val="center"/>
          </w:tcPr>
          <w:p>
            <w:pPr>
              <w:pStyle w:val="TableContents"/>
              <w:bidi w:val="0"/>
              <w:spacing w:before="0" w:after="283"/>
              <w:jc w:val="right"/>
              <w:rPr/>
            </w:pPr>
            <w:r>
              <w:rPr/>
              <w:t>24,190</w:t>
            </w:r>
          </w:p>
        </w:tc>
        <w:tc>
          <w:tcPr>
            <w:tcW w:w="110" w:type="dxa"/>
            <w:tcBorders/>
            <w:shd w:fill="FFFFFF" w:val="clear"/>
            <w:vAlign w:val="center"/>
          </w:tcPr>
          <w:p>
            <w:pPr>
              <w:pStyle w:val="TableContents"/>
              <w:bidi w:val="0"/>
              <w:spacing w:before="0" w:after="283"/>
              <w:jc w:val="left"/>
              <w:rPr/>
            </w:pPr>
            <w:r>
              <w:rPr/>
              <w:t> </w:t>
            </w:r>
            <w:bookmarkStart w:id="159" w:name="xdx_43F_c20250501__20250731_eus-gaap--St"/>
            <w:bookmarkEnd w:id="159"/>
          </w:p>
        </w:tc>
      </w:tr>
      <w:tr>
        <w:trPr/>
        <w:tc>
          <w:tcPr>
            <w:tcW w:w="1340" w:type="dxa"/>
            <w:tcBorders/>
            <w:shd w:fill="FFFFFF" w:val="clear"/>
            <w:vAlign w:val="center"/>
          </w:tcPr>
          <w:p>
            <w:pPr>
              <w:pStyle w:val="TableContents"/>
              <w:bidi w:val="0"/>
              <w:spacing w:before="0" w:after="283"/>
              <w:jc w:val="left"/>
              <w:rPr/>
            </w:pPr>
            <w:r>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0" w:name="xdx_987_eus-gaap--SharesOutstanding_iE_p"/>
            <w:bookmarkEnd w:id="160"/>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5,943,742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pPr>
            <w:r>
              <w:rPr/>
              <w:t>178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1" w:name="xdx_98D_eus-gaap--TreasuryStockCommonSha"/>
            <w:bookmarkEnd w:id="161"/>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(26,250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05" w:type="dxa"/>
            <w:tcBorders>
              <w:bottom w:val="double" w:sz="6" w:space="0" w:color="000000"/>
            </w:tcBorders>
            <w:shd w:fill="FFFFFF" w:val="clear"/>
            <w:tcMar>
              <w:bottom w:w="28" w:type="dxa"/>
            </w:tcMar>
            <w:vAlign w:val="center"/>
          </w:tcPr>
          <w:p>
            <w:pPr>
              <w:pStyle w:val="TableContents"/>
              <w:bidi w:val="0"/>
              <w:spacing w:before="0" w:after="283"/>
              <w:jc w:val="right"/>
              <w:rPr/>
            </w:pPr>
            <w:r>
              <w:rPr/>
              <w:t>(1,018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pPr>
            <w:r>
              <w:rPr/>
              <w:t>364,464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pPr>
            <w:r>
              <w:rPr/>
              <w:t>(339,434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47"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FFFFFF" w:val="clear"/>
            <w:tcMar>
              <w:bottom w:w="28" w:type="dxa"/>
            </w:tcMar>
            <w:vAlign w:val="center"/>
          </w:tcPr>
          <w:p>
            <w:pPr>
              <w:pStyle w:val="TableContents"/>
              <w:bidi w:val="0"/>
              <w:spacing w:before="0" w:after="283"/>
              <w:jc w:val="right"/>
              <w:rPr/>
            </w:pPr>
            <w:r>
              <w:rPr/>
              <w:t>24,190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2" w:name="a_006"/>
      <w:bookmarkEnd w:id="162"/>
      <w:r>
        <w:rPr>
          <w:rFonts w:ascii="Times New Roman;Times;Serif" w:hAnsi="Times New Roman;Times;Serif"/>
          <w:b/>
          <w:i w:val="false"/>
          <w:caps w:val="false"/>
          <w:smallCaps w:val="false"/>
          <w:sz w:val="20"/>
        </w:rPr>
        <w:t>Ocean Power Technologies,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3" w:name="xdx_305_112_pn3n3_z7BjfzzZQA2a"/>
      <w:bookmarkStart w:id="164" w:name="xdx_305_112_pn3n3_z7BjfzzZQA2a"/>
      <w:bookmarkEnd w:id="164"/>
    </w:p>
    <w:tbl>
      <w:tblPr>
        <w:tblW w:w="10205" w:type="dxa"/>
        <w:jc w:val="left"/>
        <w:tblInd w:w="0" w:type="dxa"/>
        <w:tblLayout w:type="fixed"/>
        <w:tblCellMar>
          <w:top w:w="0" w:type="dxa"/>
          <w:left w:w="0" w:type="dxa"/>
          <w:bottom w:w="0" w:type="dxa"/>
          <w:right w:w="0" w:type="dxa"/>
        </w:tblCellMar>
      </w:tblPr>
      <w:tblGrid>
        <w:gridCol w:w="7259"/>
        <w:gridCol w:w="60"/>
        <w:gridCol w:w="207"/>
        <w:gridCol w:w="1121"/>
        <w:gridCol w:w="141"/>
        <w:gridCol w:w="88"/>
        <w:gridCol w:w="207"/>
        <w:gridCol w:w="1009"/>
        <w:gridCol w:w="113"/>
      </w:tblGrid>
      <w:tr>
        <w:trPr/>
        <w:tc>
          <w:tcPr>
            <w:tcW w:w="72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65" w:name="xdx_499_20260501__20260731_zBCZ61Wfe4w6"/>
            <w:bookmarkEnd w:id="165"/>
          </w:p>
        </w:tc>
        <w:tc>
          <w:tcPr>
            <w:tcW w:w="13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1"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bookmarkStart w:id="166" w:name="xdx_492_20250501__20250731_zRZr9K6DSg28"/>
            <w:bookmarkEnd w:id="166"/>
          </w:p>
        </w:tc>
        <w:tc>
          <w:tcPr>
            <w:tcW w:w="12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r>
      <w:tr>
        <w:trPr/>
        <w:tc>
          <w:tcPr>
            <w:tcW w:w="72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July 31,</w:t>
            </w:r>
          </w:p>
        </w:tc>
        <w:tc>
          <w:tcPr>
            <w:tcW w:w="113" w:type="dxa"/>
            <w:tcBorders/>
            <w:vAlign w:val="center"/>
          </w:tcPr>
          <w:p>
            <w:pPr>
              <w:pStyle w:val="TableContents"/>
              <w:bidi w:val="0"/>
              <w:spacing w:before="0" w:after="283"/>
              <w:jc w:val="left"/>
              <w:rPr/>
            </w:pPr>
            <w:r>
              <w:rPr/>
              <w:t> </w:t>
            </w:r>
          </w:p>
        </w:tc>
      </w:tr>
      <w:tr>
        <w:trPr/>
        <w:tc>
          <w:tcPr>
            <w:tcW w:w="725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1"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r>
      <w:tr>
        <w:trPr/>
        <w:tc>
          <w:tcPr>
            <w:tcW w:w="72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8" w:type="dxa"/>
            <w:gridSpan w:val="2"/>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216"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bookmarkStart w:id="167" w:name="xdx_408_eus-gaap--NetCashProvidedByUsedI"/>
            <w:bookmarkEnd w:id="167"/>
          </w:p>
        </w:tc>
      </w:tr>
      <w:tr>
        <w:trPr/>
        <w:tc>
          <w:tcPr>
            <w:tcW w:w="7259"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68" w:name="xdx_408_eus-gaap--NetIncomeLoss_i01_maCz"/>
            <w:bookmarkEnd w:id="168"/>
          </w:p>
        </w:tc>
      </w:tr>
      <w:tr>
        <w:trPr/>
        <w:tc>
          <w:tcPr>
            <w:tcW w:w="7259"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121" w:type="dxa"/>
            <w:tcBorders/>
            <w:shd w:fill="FFFFFF" w:val="clear"/>
            <w:vAlign w:val="center"/>
          </w:tcPr>
          <w:p>
            <w:pPr>
              <w:pStyle w:val="TableContents"/>
              <w:bidi w:val="0"/>
              <w:spacing w:before="0" w:after="283"/>
              <w:jc w:val="right"/>
              <w:rPr/>
            </w:pPr>
            <w:r>
              <w:rPr/>
              <w:t>(10,537</w:t>
            </w:r>
          </w:p>
        </w:tc>
        <w:tc>
          <w:tcPr>
            <w:tcW w:w="141" w:type="dxa"/>
            <w:tcBorders/>
            <w:shd w:fill="FFFFFF" w:val="clear"/>
            <w:vAlign w:val="center"/>
          </w:tcPr>
          <w:p>
            <w:pPr>
              <w:pStyle w:val="TableContents"/>
              <w:bidi w:val="0"/>
              <w:spacing w:before="0" w:after="283"/>
              <w:jc w:val="left"/>
              <w:rPr/>
            </w:pPr>
            <w:r>
              <w:rPr/>
              <w:t>)</w:t>
            </w:r>
          </w:p>
        </w:tc>
        <w:tc>
          <w:tcPr>
            <w:tcW w:w="8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009" w:type="dxa"/>
            <w:tcBorders/>
            <w:shd w:fill="FFFFFF" w:val="clear"/>
            <w:vAlign w:val="center"/>
          </w:tcPr>
          <w:p>
            <w:pPr>
              <w:pStyle w:val="TableContents"/>
              <w:bidi w:val="0"/>
              <w:spacing w:before="0" w:after="283"/>
              <w:jc w:val="right"/>
              <w:rPr/>
            </w:pPr>
            <w:r>
              <w:rPr/>
              <w:t>(7,388</w:t>
            </w:r>
          </w:p>
        </w:tc>
        <w:tc>
          <w:tcPr>
            <w:tcW w:w="113" w:type="dxa"/>
            <w:tcBorders/>
            <w:shd w:fill="FFFFFF" w:val="clear"/>
            <w:vAlign w:val="center"/>
          </w:tcPr>
          <w:p>
            <w:pPr>
              <w:pStyle w:val="TableContents"/>
              <w:bidi w:val="0"/>
              <w:spacing w:before="0" w:after="283"/>
              <w:jc w:val="left"/>
              <w:rPr/>
            </w:pPr>
            <w:r>
              <w:rPr/>
              <w:t>)</w:t>
            </w:r>
            <w:bookmarkStart w:id="169" w:name="xdx_402_eus-gaap--AdjustmentsNoncashItem"/>
            <w:bookmarkEnd w:id="169"/>
          </w:p>
        </w:tc>
      </w:tr>
      <w:tr>
        <w:trPr/>
        <w:tc>
          <w:tcPr>
            <w:tcW w:w="7259"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70" w:name="xdx_40F_eus-gaap--Depreciation_i02_maCzD"/>
            <w:bookmarkEnd w:id="170"/>
          </w:p>
        </w:tc>
      </w:tr>
      <w:tr>
        <w:trPr/>
        <w:tc>
          <w:tcPr>
            <w:tcW w:w="7259" w:type="dxa"/>
            <w:tcBorders/>
            <w:shd w:fill="FFFFFF" w:val="clear"/>
            <w:vAlign w:val="center"/>
          </w:tcPr>
          <w:p>
            <w:pPr>
              <w:pStyle w:val="TableContents"/>
              <w:bidi w:val="0"/>
              <w:spacing w:before="0" w:after="283"/>
              <w:jc w:val="left"/>
              <w:rPr/>
            </w:pPr>
            <w:r>
              <w:rPr/>
              <w:t>Depreciation of fixed assets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286</w:t>
            </w:r>
          </w:p>
        </w:tc>
        <w:tc>
          <w:tcPr>
            <w:tcW w:w="141"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194</w:t>
            </w:r>
          </w:p>
        </w:tc>
        <w:tc>
          <w:tcPr>
            <w:tcW w:w="113" w:type="dxa"/>
            <w:tcBorders/>
            <w:shd w:fill="FFFFFF" w:val="clear"/>
            <w:vAlign w:val="center"/>
          </w:tcPr>
          <w:p>
            <w:pPr>
              <w:pStyle w:val="TableContents"/>
              <w:bidi w:val="0"/>
              <w:spacing w:before="0" w:after="283"/>
              <w:jc w:val="left"/>
              <w:rPr/>
            </w:pPr>
            <w:r>
              <w:rPr/>
              <w:t> </w:t>
            </w:r>
            <w:bookmarkStart w:id="171" w:name="xdx_400_ecustom--ForeignCurrencyTransact"/>
            <w:bookmarkEnd w:id="171"/>
          </w:p>
        </w:tc>
      </w:tr>
      <w:tr>
        <w:trPr/>
        <w:tc>
          <w:tcPr>
            <w:tcW w:w="7259" w:type="dxa"/>
            <w:tcBorders/>
            <w:shd w:fill="CCEEFF" w:val="clear"/>
            <w:vAlign w:val="center"/>
          </w:tcPr>
          <w:p>
            <w:pPr>
              <w:pStyle w:val="TableContents"/>
              <w:bidi w:val="0"/>
              <w:spacing w:before="0" w:after="283"/>
              <w:jc w:val="left"/>
              <w:rPr/>
            </w:pPr>
            <w:r>
              <w:rPr/>
              <w:t>Foreign exchange loss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w:t>
            </w:r>
          </w:p>
        </w:tc>
        <w:tc>
          <w:tcPr>
            <w:tcW w:w="141"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72" w:name="xdx_406_eus-gaap--AmortizationOfAcquisit"/>
            <w:bookmarkEnd w:id="172"/>
          </w:p>
        </w:tc>
      </w:tr>
      <w:tr>
        <w:trPr/>
        <w:tc>
          <w:tcPr>
            <w:tcW w:w="7259" w:type="dxa"/>
            <w:tcBorders/>
            <w:shd w:fill="FFFFFF" w:val="clear"/>
            <w:vAlign w:val="center"/>
          </w:tcPr>
          <w:p>
            <w:pPr>
              <w:pStyle w:val="TableContents"/>
              <w:bidi w:val="0"/>
              <w:spacing w:before="0" w:after="283"/>
              <w:jc w:val="left"/>
              <w:rPr/>
            </w:pPr>
            <w:r>
              <w:rPr/>
              <w:t>Non-cash payment for asset acquisition</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1,991</w:t>
            </w:r>
          </w:p>
        </w:tc>
        <w:tc>
          <w:tcPr>
            <w:tcW w:w="141"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73" w:name="xdx_403_eus-gaap--AmortizationOfIntangib"/>
            <w:bookmarkEnd w:id="173"/>
          </w:p>
        </w:tc>
      </w:tr>
      <w:tr>
        <w:trPr/>
        <w:tc>
          <w:tcPr>
            <w:tcW w:w="7259"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33</w:t>
            </w:r>
          </w:p>
        </w:tc>
        <w:tc>
          <w:tcPr>
            <w:tcW w:w="141"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34</w:t>
            </w:r>
          </w:p>
        </w:tc>
        <w:tc>
          <w:tcPr>
            <w:tcW w:w="113" w:type="dxa"/>
            <w:tcBorders/>
            <w:shd w:fill="CCEEFF" w:val="clear"/>
            <w:vAlign w:val="center"/>
          </w:tcPr>
          <w:p>
            <w:pPr>
              <w:pStyle w:val="TableContents"/>
              <w:bidi w:val="0"/>
              <w:spacing w:before="0" w:after="283"/>
              <w:jc w:val="left"/>
              <w:rPr/>
            </w:pPr>
            <w:r>
              <w:rPr/>
              <w:t> </w:t>
            </w:r>
            <w:bookmarkStart w:id="174" w:name="xdx_40E_eus-gaap--OperatingLeaseRightOfU"/>
            <w:bookmarkEnd w:id="174"/>
          </w:p>
        </w:tc>
      </w:tr>
      <w:tr>
        <w:trPr/>
        <w:tc>
          <w:tcPr>
            <w:tcW w:w="7259" w:type="dxa"/>
            <w:tcBorders/>
            <w:shd w:fill="FFFFFF" w:val="clear"/>
            <w:vAlign w:val="center"/>
          </w:tcPr>
          <w:p>
            <w:pPr>
              <w:pStyle w:val="TableContents"/>
              <w:bidi w:val="0"/>
              <w:spacing w:before="0" w:after="283"/>
              <w:jc w:val="left"/>
              <w:rPr/>
            </w:pPr>
            <w:r>
              <w:rPr/>
              <w:t>Amortization of right of use asset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273</w:t>
            </w:r>
          </w:p>
        </w:tc>
        <w:tc>
          <w:tcPr>
            <w:tcW w:w="141"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231</w:t>
            </w:r>
          </w:p>
        </w:tc>
        <w:tc>
          <w:tcPr>
            <w:tcW w:w="113" w:type="dxa"/>
            <w:tcBorders/>
            <w:shd w:fill="FFFFFF" w:val="clear"/>
            <w:vAlign w:val="center"/>
          </w:tcPr>
          <w:p>
            <w:pPr>
              <w:pStyle w:val="TableContents"/>
              <w:bidi w:val="0"/>
              <w:spacing w:before="0" w:after="283"/>
              <w:jc w:val="left"/>
              <w:rPr/>
            </w:pPr>
            <w:r>
              <w:rPr/>
              <w:t> </w:t>
            </w:r>
            <w:bookmarkStart w:id="175" w:name="xdx_40E_eus-gaap--ShareBasedCompensation"/>
            <w:bookmarkEnd w:id="175"/>
          </w:p>
        </w:tc>
      </w:tr>
      <w:tr>
        <w:trPr/>
        <w:tc>
          <w:tcPr>
            <w:tcW w:w="7259"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1,829</w:t>
            </w:r>
          </w:p>
        </w:tc>
        <w:tc>
          <w:tcPr>
            <w:tcW w:w="141"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2,399</w:t>
            </w:r>
          </w:p>
        </w:tc>
        <w:tc>
          <w:tcPr>
            <w:tcW w:w="113" w:type="dxa"/>
            <w:tcBorders/>
            <w:shd w:fill="CCEEFF" w:val="clear"/>
            <w:vAlign w:val="center"/>
          </w:tcPr>
          <w:p>
            <w:pPr>
              <w:pStyle w:val="TableContents"/>
              <w:bidi w:val="0"/>
              <w:spacing w:before="0" w:after="283"/>
              <w:jc w:val="left"/>
              <w:rPr/>
            </w:pPr>
            <w:r>
              <w:rPr/>
              <w:t> </w:t>
            </w:r>
            <w:bookmarkStart w:id="176" w:name="xdx_405_ecustom--ChangeInFairValueOfDeri"/>
            <w:bookmarkEnd w:id="176"/>
          </w:p>
        </w:tc>
      </w:tr>
      <w:tr>
        <w:trPr/>
        <w:tc>
          <w:tcPr>
            <w:tcW w:w="7259" w:type="dxa"/>
            <w:tcBorders/>
            <w:shd w:fill="FFFFFF" w:val="clear"/>
            <w:vAlign w:val="center"/>
          </w:tcPr>
          <w:p>
            <w:pPr>
              <w:pStyle w:val="TableContents"/>
              <w:bidi w:val="0"/>
              <w:spacing w:before="0" w:after="283"/>
              <w:jc w:val="left"/>
              <w:rPr/>
            </w:pPr>
            <w:r>
              <w:rPr/>
              <w:t>Change in fair value of derivative</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(4,912</w:t>
            </w:r>
          </w:p>
        </w:tc>
        <w:tc>
          <w:tcPr>
            <w:tcW w:w="141" w:type="dxa"/>
            <w:tcBorders/>
            <w:shd w:fill="FFFFFF" w:val="clear"/>
            <w:vAlign w:val="center"/>
          </w:tcPr>
          <w:p>
            <w:pPr>
              <w:pStyle w:val="TableContents"/>
              <w:bidi w:val="0"/>
              <w:spacing w:before="0" w:after="283"/>
              <w:jc w:val="left"/>
              <w:rPr/>
            </w:pPr>
            <w:r>
              <w:rPr/>
              <w:t>)</w:t>
            </w:r>
          </w:p>
        </w:tc>
        <w:tc>
          <w:tcPr>
            <w:tcW w:w="8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77" w:name="xdx_403_eus-gaap--GainLossOnDispositionO"/>
            <w:bookmarkEnd w:id="177"/>
          </w:p>
        </w:tc>
      </w:tr>
      <w:tr>
        <w:trPr/>
        <w:tc>
          <w:tcPr>
            <w:tcW w:w="7259" w:type="dxa"/>
            <w:tcBorders/>
            <w:shd w:fill="CCEEFF" w:val="clear"/>
            <w:vAlign w:val="center"/>
          </w:tcPr>
          <w:p>
            <w:pPr>
              <w:pStyle w:val="TableContents"/>
              <w:bidi w:val="0"/>
              <w:spacing w:before="0" w:after="283"/>
              <w:jc w:val="left"/>
              <w:rPr/>
            </w:pPr>
            <w:r>
              <w:rPr/>
              <w:t>Loss on disposition of assets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769</w:t>
            </w:r>
          </w:p>
        </w:tc>
        <w:tc>
          <w:tcPr>
            <w:tcW w:w="141"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78" w:name="xdx_40D_eus-gaap--IncreaseDecreaseInOper"/>
            <w:bookmarkEnd w:id="178"/>
          </w:p>
        </w:tc>
      </w:tr>
      <w:tr>
        <w:trPr/>
        <w:tc>
          <w:tcPr>
            <w:tcW w:w="7259"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79" w:name="xdx_40F_eus-gaap--IncreaseDecreaseInAcco"/>
            <w:bookmarkEnd w:id="179"/>
          </w:p>
        </w:tc>
      </w:tr>
      <w:tr>
        <w:trPr/>
        <w:tc>
          <w:tcPr>
            <w:tcW w:w="7259"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(662</w:t>
            </w:r>
          </w:p>
        </w:tc>
        <w:tc>
          <w:tcPr>
            <w:tcW w:w="141"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(1,016</w:t>
            </w:r>
          </w:p>
        </w:tc>
        <w:tc>
          <w:tcPr>
            <w:tcW w:w="113" w:type="dxa"/>
            <w:tcBorders/>
            <w:shd w:fill="CCEEFF" w:val="clear"/>
            <w:vAlign w:val="center"/>
          </w:tcPr>
          <w:p>
            <w:pPr>
              <w:pStyle w:val="TableContents"/>
              <w:bidi w:val="0"/>
              <w:spacing w:before="0" w:after="283"/>
              <w:jc w:val="left"/>
              <w:rPr/>
            </w:pPr>
            <w:r>
              <w:rPr/>
              <w:t>)</w:t>
            </w:r>
            <w:bookmarkStart w:id="180" w:name="xdx_401_eus-gaap--IncreaseDecreaseInCont"/>
            <w:bookmarkEnd w:id="180"/>
          </w:p>
        </w:tc>
      </w:tr>
      <w:tr>
        <w:trPr/>
        <w:tc>
          <w:tcPr>
            <w:tcW w:w="7259"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321</w:t>
            </w:r>
          </w:p>
        </w:tc>
        <w:tc>
          <w:tcPr>
            <w:tcW w:w="141"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533</w:t>
            </w:r>
          </w:p>
        </w:tc>
        <w:tc>
          <w:tcPr>
            <w:tcW w:w="113" w:type="dxa"/>
            <w:tcBorders/>
            <w:shd w:fill="FFFFFF" w:val="clear"/>
            <w:vAlign w:val="center"/>
          </w:tcPr>
          <w:p>
            <w:pPr>
              <w:pStyle w:val="TableContents"/>
              <w:bidi w:val="0"/>
              <w:spacing w:before="0" w:after="283"/>
              <w:jc w:val="left"/>
              <w:rPr/>
            </w:pPr>
            <w:r>
              <w:rPr/>
              <w:t> </w:t>
            </w:r>
            <w:bookmarkStart w:id="181" w:name="xdx_407_eus-gaap--IncreaseDecreaseInInve"/>
            <w:bookmarkEnd w:id="181"/>
          </w:p>
        </w:tc>
      </w:tr>
      <w:tr>
        <w:trPr/>
        <w:tc>
          <w:tcPr>
            <w:tcW w:w="7259"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(1,837</w:t>
            </w:r>
          </w:p>
        </w:tc>
        <w:tc>
          <w:tcPr>
            <w:tcW w:w="141"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(643</w:t>
            </w:r>
          </w:p>
        </w:tc>
        <w:tc>
          <w:tcPr>
            <w:tcW w:w="113" w:type="dxa"/>
            <w:tcBorders/>
            <w:shd w:fill="CCEEFF" w:val="clear"/>
            <w:vAlign w:val="center"/>
          </w:tcPr>
          <w:p>
            <w:pPr>
              <w:pStyle w:val="TableContents"/>
              <w:bidi w:val="0"/>
              <w:spacing w:before="0" w:after="283"/>
              <w:jc w:val="left"/>
              <w:rPr/>
            </w:pPr>
            <w:r>
              <w:rPr/>
              <w:t>)</w:t>
            </w:r>
            <w:bookmarkStart w:id="182" w:name="xdx_40C_ecustom--IncreaseDecreaseInRight"/>
            <w:bookmarkEnd w:id="182"/>
          </w:p>
        </w:tc>
      </w:tr>
      <w:tr>
        <w:trPr/>
        <w:tc>
          <w:tcPr>
            <w:tcW w:w="7259" w:type="dxa"/>
            <w:tcBorders/>
            <w:shd w:fill="FFFFFF" w:val="clear"/>
            <w:vAlign w:val="center"/>
          </w:tcPr>
          <w:p>
            <w:pPr>
              <w:pStyle w:val="TableContents"/>
              <w:bidi w:val="0"/>
              <w:spacing w:before="0" w:after="283"/>
              <w:jc w:val="left"/>
              <w:rPr/>
            </w:pPr>
            <w:r>
              <w:rPr/>
              <w:t>Right-of-use asset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(66</w:t>
            </w:r>
          </w:p>
        </w:tc>
        <w:tc>
          <w:tcPr>
            <w:tcW w:w="113" w:type="dxa"/>
            <w:tcBorders/>
            <w:shd w:fill="FFFFFF" w:val="clear"/>
            <w:vAlign w:val="center"/>
          </w:tcPr>
          <w:p>
            <w:pPr>
              <w:pStyle w:val="TableContents"/>
              <w:bidi w:val="0"/>
              <w:spacing w:before="0" w:after="283"/>
              <w:jc w:val="left"/>
              <w:rPr/>
            </w:pPr>
            <w:r>
              <w:rPr/>
              <w:t>)</w:t>
            </w:r>
            <w:bookmarkStart w:id="183" w:name="xdx_40C_eus-gaap--IncreaseDecreaseInOthe"/>
            <w:bookmarkEnd w:id="183"/>
          </w:p>
        </w:tc>
      </w:tr>
      <w:tr>
        <w:trPr/>
        <w:tc>
          <w:tcPr>
            <w:tcW w:w="7259"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797</w:t>
            </w:r>
          </w:p>
        </w:tc>
        <w:tc>
          <w:tcPr>
            <w:tcW w:w="141"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(493</w:t>
            </w:r>
          </w:p>
        </w:tc>
        <w:tc>
          <w:tcPr>
            <w:tcW w:w="113" w:type="dxa"/>
            <w:tcBorders/>
            <w:shd w:fill="CCEEFF" w:val="clear"/>
            <w:vAlign w:val="center"/>
          </w:tcPr>
          <w:p>
            <w:pPr>
              <w:pStyle w:val="TableContents"/>
              <w:bidi w:val="0"/>
              <w:spacing w:before="0" w:after="283"/>
              <w:jc w:val="left"/>
              <w:rPr/>
            </w:pPr>
            <w:r>
              <w:rPr/>
              <w:t>)</w:t>
            </w:r>
            <w:bookmarkStart w:id="184" w:name="xdx_40C_eus-gaap--IncreaseDecreaseInAcco"/>
            <w:bookmarkEnd w:id="184"/>
          </w:p>
        </w:tc>
      </w:tr>
      <w:tr>
        <w:trPr/>
        <w:tc>
          <w:tcPr>
            <w:tcW w:w="7259"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2,360</w:t>
            </w:r>
          </w:p>
        </w:tc>
        <w:tc>
          <w:tcPr>
            <w:tcW w:w="141"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715</w:t>
            </w:r>
          </w:p>
        </w:tc>
        <w:tc>
          <w:tcPr>
            <w:tcW w:w="113" w:type="dxa"/>
            <w:tcBorders/>
            <w:shd w:fill="FFFFFF" w:val="clear"/>
            <w:vAlign w:val="center"/>
          </w:tcPr>
          <w:p>
            <w:pPr>
              <w:pStyle w:val="TableContents"/>
              <w:bidi w:val="0"/>
              <w:spacing w:before="0" w:after="283"/>
              <w:jc w:val="left"/>
              <w:rPr/>
            </w:pPr>
            <w:r>
              <w:rPr/>
              <w:t> </w:t>
            </w:r>
            <w:bookmarkStart w:id="185" w:name="xdx_405_eus-gaap--IncreaseDecreaseInOthe"/>
            <w:bookmarkEnd w:id="185"/>
          </w:p>
        </w:tc>
      </w:tr>
      <w:tr>
        <w:trPr/>
        <w:tc>
          <w:tcPr>
            <w:tcW w:w="7259" w:type="dxa"/>
            <w:tcBorders/>
            <w:shd w:fill="CCEEFF" w:val="clear"/>
            <w:vAlign w:val="center"/>
          </w:tcPr>
          <w:p>
            <w:pPr>
              <w:pStyle w:val="TableContents"/>
              <w:bidi w:val="0"/>
              <w:spacing w:before="0" w:after="283"/>
              <w:jc w:val="left"/>
              <w:rPr/>
            </w:pPr>
            <w:r>
              <w:rPr/>
              <w:t>Earnout payable</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(100</w:t>
            </w:r>
          </w:p>
        </w:tc>
        <w:tc>
          <w:tcPr>
            <w:tcW w:w="141"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(50</w:t>
            </w:r>
          </w:p>
        </w:tc>
        <w:tc>
          <w:tcPr>
            <w:tcW w:w="113" w:type="dxa"/>
            <w:tcBorders/>
            <w:shd w:fill="CCEEFF" w:val="clear"/>
            <w:vAlign w:val="center"/>
          </w:tcPr>
          <w:p>
            <w:pPr>
              <w:pStyle w:val="TableContents"/>
              <w:bidi w:val="0"/>
              <w:spacing w:before="0" w:after="283"/>
              <w:jc w:val="left"/>
              <w:rPr/>
            </w:pPr>
            <w:r>
              <w:rPr/>
              <w:t>)</w:t>
            </w:r>
            <w:bookmarkStart w:id="186" w:name="xdx_407_eus-gaap--IncreaseDecreaseInAccr"/>
            <w:bookmarkEnd w:id="186"/>
          </w:p>
        </w:tc>
      </w:tr>
      <w:tr>
        <w:trPr/>
        <w:tc>
          <w:tcPr>
            <w:tcW w:w="7259"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376</w:t>
            </w:r>
          </w:p>
        </w:tc>
        <w:tc>
          <w:tcPr>
            <w:tcW w:w="141"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22</w:t>
            </w:r>
          </w:p>
        </w:tc>
        <w:tc>
          <w:tcPr>
            <w:tcW w:w="113" w:type="dxa"/>
            <w:tcBorders/>
            <w:shd w:fill="FFFFFF" w:val="clear"/>
            <w:vAlign w:val="center"/>
          </w:tcPr>
          <w:p>
            <w:pPr>
              <w:pStyle w:val="TableContents"/>
              <w:bidi w:val="0"/>
              <w:spacing w:before="0" w:after="283"/>
              <w:jc w:val="left"/>
              <w:rPr/>
            </w:pPr>
            <w:r>
              <w:rPr/>
              <w:t> </w:t>
            </w:r>
            <w:bookmarkStart w:id="187" w:name="xdx_401_eus-gaap--IncreaseDecreaseInOper"/>
            <w:bookmarkEnd w:id="187"/>
          </w:p>
        </w:tc>
      </w:tr>
      <w:tr>
        <w:trPr/>
        <w:tc>
          <w:tcPr>
            <w:tcW w:w="7259" w:type="dxa"/>
            <w:tcBorders/>
            <w:shd w:fill="CCEEFF" w:val="clear"/>
            <w:vAlign w:val="center"/>
          </w:tcPr>
          <w:p>
            <w:pPr>
              <w:pStyle w:val="TableContents"/>
              <w:bidi w:val="0"/>
              <w:spacing w:before="0" w:after="283"/>
              <w:jc w:val="left"/>
              <w:rPr/>
            </w:pPr>
            <w:r>
              <w:rPr/>
              <w:t>Right-of-use liabilities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(289</w:t>
            </w:r>
          </w:p>
        </w:tc>
        <w:tc>
          <w:tcPr>
            <w:tcW w:w="141"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(212</w:t>
            </w:r>
          </w:p>
        </w:tc>
        <w:tc>
          <w:tcPr>
            <w:tcW w:w="113" w:type="dxa"/>
            <w:tcBorders/>
            <w:shd w:fill="CCEEFF" w:val="clear"/>
            <w:vAlign w:val="center"/>
          </w:tcPr>
          <w:p>
            <w:pPr>
              <w:pStyle w:val="TableContents"/>
              <w:bidi w:val="0"/>
              <w:spacing w:before="0" w:after="283"/>
              <w:jc w:val="left"/>
              <w:rPr/>
            </w:pPr>
            <w:r>
              <w:rPr/>
              <w:t>)</w:t>
            </w:r>
            <w:bookmarkStart w:id="188" w:name="xdx_401_eus-gaap--IncreaseDecreaseInCont"/>
            <w:bookmarkEnd w:id="188"/>
          </w:p>
        </w:tc>
      </w:tr>
      <w:tr>
        <w:trPr/>
        <w:tc>
          <w:tcPr>
            <w:tcW w:w="7259"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pPr>
            <w:r>
              <w:rPr/>
              <w:t>(938</w:t>
            </w:r>
          </w:p>
        </w:tc>
        <w:tc>
          <w:tcPr>
            <w:tcW w:w="141" w:type="dxa"/>
            <w:tcBorders/>
            <w:shd w:fill="FFFFFF" w:val="clear"/>
            <w:vAlign w:val="center"/>
          </w:tcPr>
          <w:p>
            <w:pPr>
              <w:pStyle w:val="TableContents"/>
              <w:bidi w:val="0"/>
              <w:spacing w:before="0" w:after="283"/>
              <w:jc w:val="left"/>
              <w:rPr/>
            </w:pPr>
            <w:r>
              <w:rPr/>
              <w:t>)</w:t>
            </w:r>
          </w:p>
        </w:tc>
        <w:tc>
          <w:tcPr>
            <w:tcW w:w="88"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pPr>
            <w:r>
              <w:rPr/>
              <w:t>135</w:t>
            </w:r>
          </w:p>
        </w:tc>
        <w:tc>
          <w:tcPr>
            <w:tcW w:w="113" w:type="dxa"/>
            <w:tcBorders/>
            <w:shd w:fill="FFFFFF" w:val="clear"/>
            <w:vAlign w:val="center"/>
          </w:tcPr>
          <w:p>
            <w:pPr>
              <w:pStyle w:val="TableContents"/>
              <w:bidi w:val="0"/>
              <w:spacing w:before="0" w:after="283"/>
              <w:jc w:val="left"/>
              <w:rPr/>
            </w:pPr>
            <w:r>
              <w:rPr/>
              <w:t> </w:t>
            </w:r>
            <w:bookmarkStart w:id="189" w:name="xdx_402_eus-gaap--NetCashProvidedByUsedI"/>
            <w:bookmarkEnd w:id="189"/>
          </w:p>
        </w:tc>
      </w:tr>
      <w:tr>
        <w:trPr/>
        <w:tc>
          <w:tcPr>
            <w:tcW w:w="7259"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pPr>
            <w:r>
              <w:rPr/>
              <w:t>(10,240</w:t>
            </w:r>
          </w:p>
        </w:tc>
        <w:tc>
          <w:tcPr>
            <w:tcW w:w="141"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pPr>
            <w:r>
              <w:rPr/>
              <w:t>(5,605</w:t>
            </w:r>
          </w:p>
        </w:tc>
        <w:tc>
          <w:tcPr>
            <w:tcW w:w="113" w:type="dxa"/>
            <w:tcBorders/>
            <w:shd w:fill="CCEEFF" w:val="clear"/>
            <w:vAlign w:val="center"/>
          </w:tcPr>
          <w:p>
            <w:pPr>
              <w:pStyle w:val="TableContents"/>
              <w:bidi w:val="0"/>
              <w:spacing w:before="0" w:after="283"/>
              <w:jc w:val="left"/>
              <w:rPr/>
            </w:pPr>
            <w:r>
              <w:rPr/>
              <w:t>)</w:t>
            </w:r>
            <w:bookmarkStart w:id="190" w:name="xdx_404_eus-gaap--NetCashProvidedByUsedI"/>
            <w:bookmarkEnd w:id="190"/>
          </w:p>
        </w:tc>
      </w:tr>
      <w:tr>
        <w:trPr/>
        <w:tc>
          <w:tcPr>
            <w:tcW w:w="7259"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91" w:name="xdx_40B_eus-gaap--PaymentsToAcquirePrope"/>
            <w:bookmarkEnd w:id="191"/>
          </w:p>
        </w:tc>
      </w:tr>
      <w:tr>
        <w:trPr/>
        <w:tc>
          <w:tcPr>
            <w:tcW w:w="7259" w:type="dxa"/>
            <w:tcBorders/>
            <w:shd w:fill="CCEEFF" w:val="clear"/>
            <w:vAlign w:val="center"/>
          </w:tcPr>
          <w:p>
            <w:pPr>
              <w:pStyle w:val="TableContents"/>
              <w:bidi w:val="0"/>
              <w:spacing w:before="0" w:after="283"/>
              <w:jc w:val="left"/>
              <w:rPr/>
            </w:pPr>
            <w:r>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pPr>
            <w:r>
              <w:rPr/>
              <w:t>(124</w:t>
            </w:r>
          </w:p>
        </w:tc>
        <w:tc>
          <w:tcPr>
            <w:tcW w:w="141"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pPr>
            <w:r>
              <w:rPr/>
              <w:t>(1,453</w:t>
            </w:r>
          </w:p>
        </w:tc>
        <w:tc>
          <w:tcPr>
            <w:tcW w:w="113" w:type="dxa"/>
            <w:tcBorders/>
            <w:shd w:fill="CCEEFF" w:val="clear"/>
            <w:vAlign w:val="center"/>
          </w:tcPr>
          <w:p>
            <w:pPr>
              <w:pStyle w:val="TableContents"/>
              <w:bidi w:val="0"/>
              <w:spacing w:before="0" w:after="283"/>
              <w:jc w:val="left"/>
              <w:rPr/>
            </w:pPr>
            <w:r>
              <w:rPr/>
              <w:t>)</w:t>
            </w:r>
            <w:bookmarkStart w:id="192" w:name="xdx_40A_eus-gaap--NetCashProvidedByUsedI"/>
            <w:bookmarkEnd w:id="192"/>
          </w:p>
        </w:tc>
      </w:tr>
      <w:tr>
        <w:trPr/>
        <w:tc>
          <w:tcPr>
            <w:tcW w:w="7259"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pPr>
            <w:r>
              <w:rPr/>
              <w:t>(124</w:t>
            </w:r>
          </w:p>
        </w:tc>
        <w:tc>
          <w:tcPr>
            <w:tcW w:w="141" w:type="dxa"/>
            <w:tcBorders/>
            <w:shd w:fill="FFFFFF" w:val="clear"/>
            <w:vAlign w:val="center"/>
          </w:tcPr>
          <w:p>
            <w:pPr>
              <w:pStyle w:val="TableContents"/>
              <w:bidi w:val="0"/>
              <w:spacing w:before="0" w:after="283"/>
              <w:jc w:val="left"/>
              <w:rPr/>
            </w:pPr>
            <w:r>
              <w:rPr/>
              <w:t>)</w:t>
            </w:r>
          </w:p>
        </w:tc>
        <w:tc>
          <w:tcPr>
            <w:tcW w:w="88"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pPr>
            <w:r>
              <w:rPr/>
              <w:t>(1,453</w:t>
            </w:r>
          </w:p>
        </w:tc>
        <w:tc>
          <w:tcPr>
            <w:tcW w:w="113" w:type="dxa"/>
            <w:tcBorders/>
            <w:shd w:fill="FFFFFF" w:val="clear"/>
            <w:vAlign w:val="center"/>
          </w:tcPr>
          <w:p>
            <w:pPr>
              <w:pStyle w:val="TableContents"/>
              <w:bidi w:val="0"/>
              <w:spacing w:before="0" w:after="283"/>
              <w:jc w:val="left"/>
              <w:rPr/>
            </w:pPr>
            <w:r>
              <w:rPr/>
              <w:t>)</w:t>
            </w:r>
            <w:bookmarkStart w:id="193" w:name="xdx_403_eus-gaap--NetCashProvidedByUsedI"/>
            <w:bookmarkEnd w:id="193"/>
          </w:p>
        </w:tc>
      </w:tr>
      <w:tr>
        <w:trPr/>
        <w:tc>
          <w:tcPr>
            <w:tcW w:w="7259"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94" w:name="xdx_40D_eus-gaap--ProceedsFromConvertibl"/>
            <w:bookmarkEnd w:id="194"/>
          </w:p>
        </w:tc>
      </w:tr>
      <w:tr>
        <w:trPr/>
        <w:tc>
          <w:tcPr>
            <w:tcW w:w="7259" w:type="dxa"/>
            <w:tcBorders/>
            <w:shd w:fill="FFFFFF" w:val="clear"/>
            <w:vAlign w:val="center"/>
          </w:tcPr>
          <w:p>
            <w:pPr>
              <w:pStyle w:val="TableContents"/>
              <w:bidi w:val="0"/>
              <w:spacing w:before="0" w:after="283"/>
              <w:jc w:val="left"/>
              <w:rPr/>
            </w:pPr>
            <w:r>
              <w:rPr/>
              <w:t>Proceeds from convertible notes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9,866</w:t>
            </w:r>
          </w:p>
        </w:tc>
        <w:tc>
          <w:tcPr>
            <w:tcW w:w="113" w:type="dxa"/>
            <w:tcBorders/>
            <w:shd w:fill="FFFFFF" w:val="clear"/>
            <w:vAlign w:val="center"/>
          </w:tcPr>
          <w:p>
            <w:pPr>
              <w:pStyle w:val="TableContents"/>
              <w:bidi w:val="0"/>
              <w:spacing w:before="0" w:after="283"/>
              <w:jc w:val="left"/>
              <w:rPr/>
            </w:pPr>
            <w:r>
              <w:rPr/>
              <w:t> </w:t>
            </w:r>
            <w:bookmarkStart w:id="195" w:name="xdx_408_ecustom--PaymentOnConvertibleNot"/>
            <w:bookmarkEnd w:id="195"/>
          </w:p>
        </w:tc>
      </w:tr>
      <w:tr>
        <w:trPr/>
        <w:tc>
          <w:tcPr>
            <w:tcW w:w="7259" w:type="dxa"/>
            <w:tcBorders/>
            <w:shd w:fill="CCEEFF" w:val="clear"/>
            <w:vAlign w:val="center"/>
          </w:tcPr>
          <w:p>
            <w:pPr>
              <w:pStyle w:val="TableContents"/>
              <w:bidi w:val="0"/>
              <w:spacing w:before="0" w:after="283"/>
              <w:jc w:val="left"/>
              <w:rPr/>
            </w:pPr>
            <w:r>
              <w:rPr/>
              <w:t>Repayment of convertible notes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(2,356</w:t>
            </w:r>
          </w:p>
        </w:tc>
        <w:tc>
          <w:tcPr>
            <w:tcW w:w="141"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96" w:name="xdx_402_eus-gaap--ProceedsFromIssuanceIn"/>
            <w:bookmarkEnd w:id="196"/>
          </w:p>
        </w:tc>
      </w:tr>
      <w:tr>
        <w:trPr/>
        <w:tc>
          <w:tcPr>
            <w:tcW w:w="7259" w:type="dxa"/>
            <w:tcBorders/>
            <w:shd w:fill="FFFFFF" w:val="clear"/>
            <w:vAlign w:val="center"/>
          </w:tcPr>
          <w:p>
            <w:pPr>
              <w:pStyle w:val="TableContents"/>
              <w:bidi w:val="0"/>
              <w:spacing w:before="0" w:after="283"/>
              <w:jc w:val="left"/>
              <w:rPr/>
            </w:pPr>
            <w:r>
              <w:rPr/>
              <w:t>Proceeds from issuance of common stock – Capital Raise - Warrants, net of issuance costs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9,952</w:t>
            </w:r>
          </w:p>
        </w:tc>
        <w:tc>
          <w:tcPr>
            <w:tcW w:w="141"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97" w:name="xdx_40B_eus-gaap--ProceedsFromIssuanceOf"/>
            <w:bookmarkEnd w:id="197"/>
          </w:p>
        </w:tc>
      </w:tr>
      <w:tr>
        <w:trPr/>
        <w:tc>
          <w:tcPr>
            <w:tcW w:w="7259" w:type="dxa"/>
            <w:tcBorders/>
            <w:shd w:fill="CCEEFF" w:val="clear"/>
            <w:vAlign w:val="center"/>
          </w:tcPr>
          <w:p>
            <w:pPr>
              <w:pStyle w:val="TableContents"/>
              <w:bidi w:val="0"/>
              <w:spacing w:before="0" w:after="283"/>
              <w:jc w:val="left"/>
              <w:rPr/>
            </w:pPr>
            <w:r>
              <w:rPr/>
              <w:t>Proceeds from issuance of common stock - At The Market offering, net of issuance costs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pPr>
            <w:r>
              <w:rPr/>
              <w:t>1,405</w:t>
            </w:r>
          </w:p>
        </w:tc>
        <w:tc>
          <w:tcPr>
            <w:tcW w:w="141"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pPr>
            <w:r>
              <w:rPr/>
              <w:t>337</w:t>
            </w:r>
          </w:p>
        </w:tc>
        <w:tc>
          <w:tcPr>
            <w:tcW w:w="113" w:type="dxa"/>
            <w:tcBorders/>
            <w:shd w:fill="CCEEFF" w:val="clear"/>
            <w:vAlign w:val="center"/>
          </w:tcPr>
          <w:p>
            <w:pPr>
              <w:pStyle w:val="TableContents"/>
              <w:bidi w:val="0"/>
              <w:spacing w:before="0" w:after="283"/>
              <w:jc w:val="left"/>
              <w:rPr/>
            </w:pPr>
            <w:r>
              <w:rPr/>
              <w:t> </w:t>
            </w:r>
            <w:bookmarkStart w:id="198" w:name="xdx_400_eus-gaap--NetCashProvidedByUsedI"/>
            <w:bookmarkEnd w:id="198"/>
          </w:p>
        </w:tc>
      </w:tr>
      <w:tr>
        <w:trPr/>
        <w:tc>
          <w:tcPr>
            <w:tcW w:w="7259"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pPr>
            <w:r>
              <w:rPr/>
              <w:t>9,001</w:t>
            </w:r>
          </w:p>
        </w:tc>
        <w:tc>
          <w:tcPr>
            <w:tcW w:w="141"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pPr>
            <w:r>
              <w:rPr/>
              <w:t>10,203</w:t>
            </w:r>
          </w:p>
        </w:tc>
        <w:tc>
          <w:tcPr>
            <w:tcW w:w="113" w:type="dxa"/>
            <w:tcBorders/>
            <w:shd w:fill="FFFFFF" w:val="clear"/>
            <w:vAlign w:val="center"/>
          </w:tcPr>
          <w:p>
            <w:pPr>
              <w:pStyle w:val="TableContents"/>
              <w:bidi w:val="0"/>
              <w:spacing w:before="0" w:after="283"/>
              <w:jc w:val="left"/>
              <w:rPr/>
            </w:pPr>
            <w:r>
              <w:rPr/>
              <w:t> </w:t>
            </w:r>
            <w:bookmarkStart w:id="199" w:name="xdx_40D_eus-gaap--CashCashEquivalentsRes"/>
            <w:bookmarkEnd w:id="199"/>
          </w:p>
        </w:tc>
      </w:tr>
      <w:tr>
        <w:trPr/>
        <w:tc>
          <w:tcPr>
            <w:tcW w:w="7259" w:type="dxa"/>
            <w:tcBorders/>
            <w:shd w:fill="CCEEFF" w:val="clear"/>
            <w:vAlign w:val="center"/>
          </w:tcPr>
          <w:p>
            <w:pPr>
              <w:pStyle w:val="TableContents"/>
              <w:bidi w:val="0"/>
              <w:spacing w:before="0" w:after="283"/>
              <w:jc w:val="left"/>
              <w:rPr/>
            </w:pPr>
            <w:r>
              <w:rPr/>
              <w:t>Net increase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pPr>
            <w:r>
              <w:rPr/>
              <w:t>(1,363</w:t>
            </w:r>
          </w:p>
        </w:tc>
        <w:tc>
          <w:tcPr>
            <w:tcW w:w="141" w:type="dxa"/>
            <w:tcBorders/>
            <w:shd w:fill="CCEEFF" w:val="clear"/>
            <w:vAlign w:val="center"/>
          </w:tcPr>
          <w:p>
            <w:pPr>
              <w:pStyle w:val="TableContents"/>
              <w:bidi w:val="0"/>
              <w:spacing w:before="0" w:after="283"/>
              <w:jc w:val="left"/>
              <w:rPr/>
            </w:pPr>
            <w:r>
              <w:rPr/>
              <w:t>)</w:t>
            </w:r>
          </w:p>
        </w:tc>
        <w:tc>
          <w:tcPr>
            <w:tcW w:w="88"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09" w:type="dxa"/>
            <w:tcBorders>
              <w:bottom w:val="single" w:sz="8" w:space="0" w:color="000000"/>
            </w:tcBorders>
            <w:shd w:fill="CCEEFF" w:val="clear"/>
            <w:tcMar>
              <w:bottom w:w="28" w:type="dxa"/>
            </w:tcMar>
            <w:vAlign w:val="center"/>
          </w:tcPr>
          <w:p>
            <w:pPr>
              <w:pStyle w:val="TableContents"/>
              <w:bidi w:val="0"/>
              <w:spacing w:before="0" w:after="283"/>
              <w:jc w:val="right"/>
              <w:rPr/>
            </w:pPr>
            <w:r>
              <w:rPr/>
              <w:t>3,145</w:t>
            </w:r>
          </w:p>
        </w:tc>
        <w:tc>
          <w:tcPr>
            <w:tcW w:w="113" w:type="dxa"/>
            <w:tcBorders/>
            <w:shd w:fill="CCEEFF" w:val="clear"/>
            <w:vAlign w:val="center"/>
          </w:tcPr>
          <w:p>
            <w:pPr>
              <w:pStyle w:val="TableContents"/>
              <w:bidi w:val="0"/>
              <w:spacing w:before="0" w:after="283"/>
              <w:jc w:val="left"/>
              <w:rPr/>
            </w:pPr>
            <w:r>
              <w:rPr/>
              <w:t> </w:t>
            </w:r>
            <w:bookmarkStart w:id="200" w:name="xdx_408_eus-gaap--CashCashEquivalentsRes"/>
            <w:bookmarkEnd w:id="200"/>
          </w:p>
        </w:tc>
      </w:tr>
      <w:tr>
        <w:trPr/>
        <w:tc>
          <w:tcPr>
            <w:tcW w:w="7259" w:type="dxa"/>
            <w:tcBorders/>
            <w:shd w:fill="FFFFFF" w:val="clear"/>
            <w:vAlign w:val="center"/>
          </w:tcPr>
          <w:p>
            <w:pPr>
              <w:pStyle w:val="TableContents"/>
              <w:bidi w:val="0"/>
              <w:spacing w:before="0" w:after="283"/>
              <w:jc w:val="left"/>
              <w:rPr/>
            </w:pPr>
            <w:r>
              <w:rPr/>
              <w:t>Cash, cash equivalents and restricted cash, beginning of period</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pPr>
            <w:r>
              <w:rPr/>
              <w:t>8,873</w:t>
            </w:r>
          </w:p>
        </w:tc>
        <w:tc>
          <w:tcPr>
            <w:tcW w:w="141"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09" w:type="dxa"/>
            <w:tcBorders>
              <w:bottom w:val="single" w:sz="8" w:space="0" w:color="000000"/>
            </w:tcBorders>
            <w:shd w:fill="FFFFFF" w:val="clear"/>
            <w:tcMar>
              <w:bottom w:w="28" w:type="dxa"/>
            </w:tcMar>
            <w:vAlign w:val="center"/>
          </w:tcPr>
          <w:p>
            <w:pPr>
              <w:pStyle w:val="TableContents"/>
              <w:bidi w:val="0"/>
              <w:spacing w:before="0" w:after="283"/>
              <w:jc w:val="right"/>
              <w:rPr/>
            </w:pPr>
            <w:r>
              <w:rPr/>
              <w:t>6,869</w:t>
            </w:r>
          </w:p>
        </w:tc>
        <w:tc>
          <w:tcPr>
            <w:tcW w:w="113" w:type="dxa"/>
            <w:tcBorders/>
            <w:shd w:fill="FFFFFF" w:val="clear"/>
            <w:vAlign w:val="center"/>
          </w:tcPr>
          <w:p>
            <w:pPr>
              <w:pStyle w:val="TableContents"/>
              <w:bidi w:val="0"/>
              <w:spacing w:before="0" w:after="283"/>
              <w:jc w:val="left"/>
              <w:rPr/>
            </w:pPr>
            <w:r>
              <w:rPr/>
              <w:t> </w:t>
            </w:r>
            <w:bookmarkStart w:id="201" w:name="xdx_40F_eus-gaap--CashCashEquivalentsRes"/>
            <w:bookmarkEnd w:id="201"/>
          </w:p>
        </w:tc>
      </w:tr>
      <w:tr>
        <w:trPr/>
        <w:tc>
          <w:tcPr>
            <w:tcW w:w="7259" w:type="dxa"/>
            <w:tcBorders/>
            <w:shd w:fill="CCEEFF" w:val="clear"/>
            <w:vAlign w:val="center"/>
          </w:tcPr>
          <w:p>
            <w:pPr>
              <w:pStyle w:val="TableContents"/>
              <w:bidi w:val="0"/>
              <w:spacing w:before="0" w:after="283"/>
              <w:jc w:val="left"/>
              <w:rPr/>
            </w:pPr>
            <w:r>
              <w:rPr/>
              <w:t>Cash, cash equivalents and restricted cash, end of period</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1" w:type="dxa"/>
            <w:tcBorders>
              <w:bottom w:val="double" w:sz="6" w:space="0" w:color="000000"/>
            </w:tcBorders>
            <w:shd w:fill="CCEEFF" w:val="clear"/>
            <w:tcMar>
              <w:bottom w:w="28" w:type="dxa"/>
            </w:tcMar>
            <w:vAlign w:val="center"/>
          </w:tcPr>
          <w:p>
            <w:pPr>
              <w:pStyle w:val="TableContents"/>
              <w:bidi w:val="0"/>
              <w:spacing w:before="0" w:after="283"/>
              <w:jc w:val="right"/>
              <w:rPr/>
            </w:pPr>
            <w:r>
              <w:rPr/>
              <w:t>7,510</w:t>
            </w:r>
          </w:p>
        </w:tc>
        <w:tc>
          <w:tcPr>
            <w:tcW w:w="141"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09" w:type="dxa"/>
            <w:tcBorders>
              <w:bottom w:val="double" w:sz="6" w:space="0" w:color="000000"/>
            </w:tcBorders>
            <w:shd w:fill="CCEEFF" w:val="clear"/>
            <w:tcMar>
              <w:bottom w:w="28" w:type="dxa"/>
            </w:tcMar>
            <w:vAlign w:val="center"/>
          </w:tcPr>
          <w:p>
            <w:pPr>
              <w:pStyle w:val="TableContents"/>
              <w:bidi w:val="0"/>
              <w:spacing w:before="0" w:after="283"/>
              <w:jc w:val="right"/>
              <w:rPr/>
            </w:pPr>
            <w:r>
              <w:rPr/>
              <w:t>10,014</w:t>
            </w:r>
          </w:p>
        </w:tc>
        <w:tc>
          <w:tcPr>
            <w:tcW w:w="113" w:type="dxa"/>
            <w:tcBorders/>
            <w:shd w:fill="CCEEFF" w:val="clear"/>
            <w:vAlign w:val="center"/>
          </w:tcPr>
          <w:p>
            <w:pPr>
              <w:pStyle w:val="TableContents"/>
              <w:bidi w:val="0"/>
              <w:spacing w:before="0" w:after="283"/>
              <w:jc w:val="left"/>
              <w:rPr/>
            </w:pPr>
            <w:r>
              <w:rPr/>
              <w:t> </w:t>
            </w:r>
            <w:bookmarkStart w:id="202" w:name="xdx_40A_eus-gaap--NoncashInvestingAndFin"/>
            <w:bookmarkEnd w:id="202"/>
          </w:p>
        </w:tc>
      </w:tr>
      <w:tr>
        <w:trPr/>
        <w:tc>
          <w:tcPr>
            <w:tcW w:w="7259" w:type="dxa"/>
            <w:tcBorders/>
            <w:shd w:fill="FFFFFF" w:val="clear"/>
            <w:vAlign w:val="center"/>
          </w:tcPr>
          <w:p>
            <w:pPr>
              <w:pStyle w:val="TableContents"/>
              <w:bidi w:val="0"/>
              <w:spacing w:before="0" w:after="283"/>
              <w:jc w:val="left"/>
              <w:rPr/>
            </w:pPr>
            <w:r>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03" w:name="xdx_400_eus-gaap--DebtConversionConverte"/>
            <w:bookmarkEnd w:id="203"/>
          </w:p>
        </w:tc>
      </w:tr>
      <w:tr>
        <w:trPr/>
        <w:tc>
          <w:tcPr>
            <w:tcW w:w="7259" w:type="dxa"/>
            <w:tcBorders/>
            <w:shd w:fill="CCEEFF" w:val="clear"/>
            <w:vAlign w:val="center"/>
          </w:tcPr>
          <w:p>
            <w:pPr>
              <w:pStyle w:val="TableContents"/>
              <w:bidi w:val="0"/>
              <w:spacing w:before="0" w:after="283"/>
              <w:jc w:val="left"/>
              <w:rPr/>
            </w:pPr>
            <w:r>
              <w:rPr/>
              <w:t>Common stock issued related to conversion of convertible debt</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121" w:type="dxa"/>
            <w:tcBorders/>
            <w:shd w:fill="CCEEFF" w:val="clear"/>
            <w:vAlign w:val="center"/>
          </w:tcPr>
          <w:p>
            <w:pPr>
              <w:pStyle w:val="TableContents"/>
              <w:bidi w:val="0"/>
              <w:spacing w:before="0" w:after="283"/>
              <w:jc w:val="right"/>
              <w:rPr/>
            </w:pPr>
            <w:r>
              <w:rPr/>
              <w:t>—</w:t>
            </w:r>
          </w:p>
        </w:tc>
        <w:tc>
          <w:tcPr>
            <w:tcW w:w="141"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009" w:type="dxa"/>
            <w:tcBorders/>
            <w:shd w:fill="CCEEFF" w:val="clear"/>
            <w:vAlign w:val="center"/>
          </w:tcPr>
          <w:p>
            <w:pPr>
              <w:pStyle w:val="TableContents"/>
              <w:bidi w:val="0"/>
              <w:spacing w:before="0" w:after="283"/>
              <w:jc w:val="right"/>
              <w:rPr/>
            </w:pPr>
            <w:r>
              <w:rPr/>
              <w:t>2,060</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04" w:name="a_007"/>
      <w:bookmarkEnd w:id="204"/>
      <w:r>
        <w:rPr>
          <w:rFonts w:ascii="Times New Roman;Times;Serif" w:hAnsi="Times New Roman;Times;Serif"/>
          <w:b/>
          <w:i w:val="false"/>
          <w:caps w:val="false"/>
          <w:smallCaps w:val="false"/>
          <w:sz w:val="20"/>
        </w:rPr>
        <w:t>Ocean Power Technologies,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5" w:name="xdx_80D_eus-gaap--BusinessDescriptionAnd"/>
      <w:bookmarkEnd w:id="205"/>
      <w:r>
        <w:rPr>
          <w:rFonts w:ascii="Times New Roman;Times;Serif" w:hAnsi="Times New Roman;Times;Serif"/>
          <w:b/>
          <w:i w:val="false"/>
          <w:caps w:val="false"/>
          <w:smallCaps w:val="false"/>
          <w:sz w:val="20"/>
        </w:rPr>
        <w:t xml:space="preserve">(1) </w:t>
      </w:r>
      <w:bookmarkStart w:id="206" w:name="xdx_82B_zJxSHsnWI82a"/>
      <w:bookmarkEnd w:id="206"/>
      <w:r>
        <w:rPr>
          <w:rFonts w:ascii="Times New Roman;Times;Serif" w:hAnsi="Times New Roman;Times;Serif"/>
          <w:b/>
          <w:i w:val="false"/>
          <w:caps w:val="false"/>
          <w:smallCaps w:val="false"/>
          <w:sz w:val="20"/>
        </w:rPr>
        <w:t>Background, Basis of Presentation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 (“OPT,” “we,” “our,” or “the Company”) is a maritime domain awareness (“MDA”) company specializing in innovative intelligent maritime solutions. These solutions include a variety of “as a service” systems, including Data as a Service (DaaS), Robotics as a Service (RaaS), and Power as a Service (PaaS). These systems consist of a variety of platforms including the PowerBuoy®, our persistent sensor and power solution, the WAM-V®, our autonomous unmanned surface vehicle, and Merrows™, our user interface and command and control system that integrates multiple sensor feeds using software and hardware and enables AI/ML integration. We design, manufacture, deploy, and operate these systems for defense, security, subsea infrastructure, offshore oil and gas, offshore energy, marine research, and communication markets. We operate primarily through a combination of direct sales and leases, strategic partnerships, and long-term service agreements. Our business model emphasizes capital-light deployments, recurring revenue from service and maintenance contracts, and high-margin technology sales and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 a global customer base, including the U.S. and allied defense agencies, offshore energy operators, and commercial interests. The common thread across these markets is the growing need for a persistent, autonomous, and sustainable offshore presence, a need we believe we are uniquely positioned to fulfill.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numerous patents and leverages decades of research including control systems, energy storage, and marine integration. Our headquarters and assembly operations are located in New Jersey, and we maintain an additional manufacturing and robotics development facility in Richmond, CA. In addition, the Company maintains an office at the AUVSI headquarters in Washington, D.C., which serves to strengthen our strategic position in the fast-growing uncrewed systems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 is committed to enabling a smarter, safer ocean economy through innovation in ocean intelligence and power. As we look forward, our strategic priorities include expanding our customer and geographic base, accelerating technology adoption, enhancing recurring revenue, and driving margin growth through platform scalability and supply chain efficiencies.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under the laws of the State of New Jersey in April 1984 and began commercial operations in 1994. On April 23, 2007, we reincorporated in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consolidated financial statements have been prepared in accordance with accounting principles generally accepted in the United States of America (“GAAP”) and for interim financial information in accordance with the Securities and Exchange Commission (“SEC”), instructions to Form 10-Q and Article 8 of Regulation S-X. Accordingly, they do not include all the information and footnotes required by GAAP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2026, as filed with the SEC and elsewhere in subsequent Exchange Act filings, including this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July 31, 2026, the Company incurred a net loss of approximately $</w:t>
      </w:r>
      <w:bookmarkStart w:id="207" w:name="xdx_904_eus-gaap--ProfitLoss_iN_pn5n6_di"/>
      <w:bookmarkEnd w:id="207"/>
      <w:r>
        <w:rPr>
          <w:rFonts w:ascii="Times New Roman;Times;Serif" w:hAnsi="Times New Roman;Times;Serif"/>
          <w:b w:val="false"/>
          <w:i w:val="false"/>
          <w:caps w:val="false"/>
          <w:smallCaps w:val="false"/>
          <w:sz w:val="20"/>
        </w:rPr>
        <w:t>10.5 million and used cash in operations of approximately $</w:t>
      </w:r>
      <w:bookmarkStart w:id="208" w:name="xdx_90D_eus-gaap--NetCashProvidedByUsedI"/>
      <w:bookmarkEnd w:id="208"/>
      <w:r>
        <w:rPr>
          <w:rFonts w:ascii="Times New Roman;Times;Serif" w:hAnsi="Times New Roman;Times;Serif"/>
          <w:b w:val="false"/>
          <w:i w:val="false"/>
          <w:caps w:val="false"/>
          <w:smallCaps w:val="false"/>
          <w:sz w:val="20"/>
        </w:rPr>
        <w:t>10.2 million. The Company’s future results of operations involve significant risks and uncertainties. Factors that could affect the Company’s future operating results and could cause actual results to vary materially from expectations include, but are not limited to, performance of its products, its ability to market and commercialize its products and new products that it may develop, access to capital and credit, technology development, scalability of technology and production, ability to attract and retain key personnel, concentration of customers and suppliers, pending or threatened litigation and deployment risks and integration of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conditions raise substantial doubt about the Company’s ability to continue as a going concern. The ability to continue as a going concern is dependent upon the Company’s operations in the future and/or obtaining the necessary financing to meet its obligations and repay its liabilities arising from normal business operations when they become due. The accompanying consolidated financial statements have been prepared on a basis which assumes the Company is a going concern and do not include any adjustments to reflect the possible future effects on the recoverability and classification of assets or the amounts and classifications of liabilities that may result from any uncertainty related to the Company’s ability to continue as a going concern. Such adjustments could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9" w:name="xdx_800_eus-gaap--SignificantAccountingP"/>
      <w:bookmarkEnd w:id="209"/>
      <w:r>
        <w:rPr>
          <w:rFonts w:ascii="Times New Roman;Times;Serif" w:hAnsi="Times New Roman;Times;Serif"/>
          <w:b/>
          <w:i w:val="false"/>
          <w:caps w:val="false"/>
          <w:smallCaps w:val="false"/>
          <w:sz w:val="20"/>
        </w:rPr>
        <w:t xml:space="preserve">(2) </w:t>
      </w:r>
      <w:bookmarkStart w:id="210" w:name="xdx_826_zGzoT26BKnq"/>
      <w:bookmarkEnd w:id="210"/>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11" w:name="xdx_84B_eus-gaap--ConsolidationPolicyTex"/>
      <w:bookmarkEnd w:id="211"/>
      <w:r>
        <w:rPr>
          <w:rFonts w:ascii="Times New Roman;Times;Serif" w:hAnsi="Times New Roman;Times;Serif"/>
          <w:b/>
          <w:i/>
          <w:caps w:val="false"/>
          <w:smallCaps w:val="false"/>
          <w:sz w:val="20"/>
        </w:rPr>
        <w:t xml:space="preserve">(a) </w:t>
      </w:r>
      <w:bookmarkStart w:id="212" w:name="xdx_869_zBsH9I31DVt"/>
      <w:bookmarkEnd w:id="212"/>
      <w:r>
        <w:rPr>
          <w:rFonts w:ascii="Times New Roman;Times;Serif" w:hAnsi="Times New Roman;Times;Serif"/>
          <w:b/>
          <w:i/>
          <w:caps w:val="false"/>
          <w:smallCaps w:val="false"/>
          <w:sz w:val="20"/>
        </w:rPr>
        <w:t>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include the accounts of the Company and its majority-owned subsidiaries, Marine Advanced Robotics Inc. (CA), referred to herein as MAR, Oregon Wave Energy Partners I LLC (DE), and ReedSport OPT WavePark, LLC (OR). Ocean Power Technologies Ltd. in the United Kingdom was dissolved on April 22, 2025. All significant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13" w:name="xdx_84F_eus-gaap--UseOfEstimates_z3ob7fa"/>
      <w:bookmarkEnd w:id="213"/>
      <w:r>
        <w:rPr>
          <w:rFonts w:ascii="Times New Roman;Times;Serif" w:hAnsi="Times New Roman;Times;Serif"/>
          <w:b/>
          <w:i/>
          <w:caps w:val="false"/>
          <w:smallCaps w:val="false"/>
          <w:sz w:val="20"/>
        </w:rPr>
        <w:t xml:space="preserve">(b) </w:t>
      </w:r>
      <w:bookmarkStart w:id="214" w:name="xdx_865_zhbCS2ViRDVk"/>
      <w:bookmarkEnd w:id="214"/>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accordance with accounting principles generally accepted in the United States (“US GAAP”) requires management of the Company to make several estimates and assumptions relating to the reported amounts of assets and liabilities at the date of the consolidated financial statements and the reported amounts of revenue and expenses during the period. Significant items subject to such estimates and assumptions include, among other items, share-based compensation based on the likelihood of meeting performance obligations, over time revenue recognition, valuation consideration related to business combinations, including contingent consideration based on actual and projected revenues, in addition to discount rates and present values, valuation of derivative liabilities, valuation of debt instruments for which the Company has elected the fair value option, evaluation of net realizable value of inventory, and other assumptions and estimates used to evaluate the recoverability of long-lived assets, goodwill and other intangible assets. Actual results could differ from those estimates.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15" w:name="xdx_84C_eus-gaap--CashAndCashEquivalents"/>
      <w:bookmarkEnd w:id="215"/>
      <w:r>
        <w:rPr>
          <w:rFonts w:ascii="Times New Roman;Times;Serif" w:hAnsi="Times New Roman;Times;Serif"/>
          <w:b/>
          <w:i/>
          <w:caps w:val="false"/>
          <w:smallCaps w:val="false"/>
          <w:sz w:val="20"/>
        </w:rPr>
        <w:t xml:space="preserve">(c) </w:t>
      </w:r>
      <w:bookmarkStart w:id="216" w:name="xdx_862_zO9y7y2lc2pj"/>
      <w:bookmarkEnd w:id="216"/>
      <w:r>
        <w:rPr>
          <w:rFonts w:ascii="Times New Roman;Times;Serif" w:hAnsi="Times New Roman;Times;Serif"/>
          <w:b/>
          <w:i/>
          <w:caps w:val="false"/>
          <w:smallCaps w:val="false"/>
          <w:sz w:val="20"/>
        </w:rPr>
        <w:t>Cash, Cash Equivalents, Restricted Cash and Security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an original maturity of three months or less when purchased, to be cash equivalents. The Company invests excess cash in a money market account or in short-term investments that are held-to-maturity. The Company had cash, cash equivalents, and restricted cash of approximately $</w:t>
      </w:r>
      <w:bookmarkStart w:id="217" w:name="xdx_903_eus-gaap--CashCashEquivalentsAnd"/>
      <w:bookmarkEnd w:id="217"/>
      <w:r>
        <w:rPr>
          <w:rFonts w:ascii="Times New Roman;Times;Serif" w:hAnsi="Times New Roman;Times;Serif"/>
          <w:b w:val="false"/>
          <w:i w:val="false"/>
          <w:caps w:val="false"/>
          <w:smallCaps w:val="false"/>
          <w:sz w:val="20"/>
        </w:rPr>
        <w:t>7.5 million and $</w:t>
      </w:r>
      <w:bookmarkStart w:id="218" w:name="xdx_90A_eus-gaap--CashCashEquivalentsAnd"/>
      <w:bookmarkEnd w:id="218"/>
      <w:r>
        <w:rPr>
          <w:rFonts w:ascii="Times New Roman;Times;Serif" w:hAnsi="Times New Roman;Times;Serif"/>
          <w:b w:val="false"/>
          <w:i w:val="false"/>
          <w:caps w:val="false"/>
          <w:smallCaps w:val="false"/>
          <w:sz w:val="20"/>
        </w:rPr>
        <w:t>8.9 million as of July 31, 2026 and April 30, 2026,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Cash and Security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letter of credit agreement with Santander Bank, N.A. (“Santander”). Cash of $</w:t>
      </w:r>
      <w:bookmarkStart w:id="219" w:name="xdx_904_eus-gaap--Deposits_iI_pn3d_c2026"/>
      <w:bookmarkEnd w:id="219"/>
      <w:r>
        <w:rPr>
          <w:rFonts w:ascii="Times New Roman;Times;Serif" w:hAnsi="Times New Roman;Times;Serif"/>
          <w:b w:val="false"/>
          <w:i w:val="false"/>
          <w:caps w:val="false"/>
          <w:smallCaps w:val="false"/>
          <w:sz w:val="20"/>
        </w:rPr>
        <w:t>154,000 is on deposit at Santander and serves as security for a letter of credit issued by Santander for the lease of warehouse/office space in Monroe Township, New Jersey.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20" w:name="xdx_898_eus-gaap--ScheduleOfRestrictedCa"/>
      <w:bookmarkEnd w:id="220"/>
      <w:r>
        <w:rPr>
          <w:rFonts w:ascii="Times New Roman;Times;Serif" w:hAnsi="Times New Roman;Times;Serif"/>
          <w:b w:val="false"/>
          <w:i w:val="false"/>
          <w:caps w:val="false"/>
          <w:smallCaps w:val="false"/>
          <w:sz w:val="20"/>
        </w:rPr>
        <w:t>The following table provides a reconciliation of cash, cash equivalents and restricted cash reported within the Consolidated Balance Sheets that total to the same amounts shown in the Consolidated Statements of Cash Flows.</w:t>
      </w:r>
    </w:p>
    <w:p>
      <w:pPr>
        <w:pStyle w:val="TextBody"/>
        <w:bidi w:val="0"/>
        <w:spacing w:before="0" w:after="0"/>
        <w:ind w:left="0" w:right="0" w:hanging="0"/>
        <w:jc w:val="both"/>
        <w:rPr>
          <w:caps w:val="false"/>
          <w:smallCaps w:val="false"/>
        </w:rPr>
      </w:pPr>
      <w:r>
        <w:rPr>
          <w:caps w:val="false"/>
          <w:smallCaps w:val="false"/>
        </w:rPr>
        <w:t> </w:t>
      </w:r>
      <w:bookmarkStart w:id="221" w:name="xdx_8B0_zdswRBSozVe2"/>
      <w:bookmarkEnd w:id="221"/>
      <w:r>
        <w:rPr>
          <w:rFonts w:ascii="Times New Roman;Times;Serif" w:hAnsi="Times New Roman;Times;Serif"/>
          <w:b w:val="false"/>
          <w:i w:val="false"/>
          <w:caps w:val="false"/>
          <w:smallCaps w:val="false"/>
          <w:sz w:val="20"/>
        </w:rPr>
        <w:t>Schedule of Cash, Cash Equivalents and Restricted Cash</w:t>
      </w:r>
    </w:p>
    <w:tbl>
      <w:tblPr>
        <w:tblW w:w="8505" w:type="dxa"/>
        <w:jc w:val="left"/>
        <w:tblInd w:w="0" w:type="dxa"/>
        <w:tblLayout w:type="fixed"/>
        <w:tblCellMar>
          <w:top w:w="0" w:type="dxa"/>
          <w:left w:w="0" w:type="dxa"/>
          <w:bottom w:w="0" w:type="dxa"/>
          <w:right w:w="0" w:type="dxa"/>
        </w:tblCellMar>
      </w:tblPr>
      <w:tblGrid>
        <w:gridCol w:w="5435"/>
        <w:gridCol w:w="60"/>
        <w:gridCol w:w="271"/>
        <w:gridCol w:w="1084"/>
        <w:gridCol w:w="60"/>
        <w:gridCol w:w="60"/>
        <w:gridCol w:w="292"/>
        <w:gridCol w:w="1168"/>
        <w:gridCol w:w="75"/>
      </w:tblGrid>
      <w:tr>
        <w:trPr/>
        <w:tc>
          <w:tcPr>
            <w:tcW w:w="5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22" w:name="xdx_498_20260731_z4bYrRWRtn34"/>
            <w:bookmarkEnd w:id="222"/>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July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23" w:name="xdx_495_20260430_zPp7wVseAYqg"/>
            <w:bookmarkEnd w:id="223"/>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2026</w:t>
            </w:r>
          </w:p>
        </w:tc>
        <w:tc>
          <w:tcPr>
            <w:tcW w:w="75" w:type="dxa"/>
            <w:tcBorders/>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5" w:type="dxa"/>
            <w:gridSpan w:val="6"/>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bookmarkStart w:id="224" w:name="xdx_40D_eus-gaap--CashAndCashEquivalents"/>
            <w:bookmarkEnd w:id="224"/>
          </w:p>
        </w:tc>
      </w:tr>
      <w:tr>
        <w:trPr/>
        <w:tc>
          <w:tcPr>
            <w:tcW w:w="543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1084" w:type="dxa"/>
            <w:tcBorders/>
            <w:shd w:fill="CCEEFF" w:val="clear"/>
            <w:vAlign w:val="center"/>
          </w:tcPr>
          <w:p>
            <w:pPr>
              <w:pStyle w:val="TableContents"/>
              <w:bidi w:val="0"/>
              <w:spacing w:before="0" w:after="283"/>
              <w:jc w:val="right"/>
              <w:rPr/>
            </w:pPr>
            <w:r>
              <w:rPr/>
              <w:t>7,356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8,719</w:t>
            </w:r>
          </w:p>
        </w:tc>
        <w:tc>
          <w:tcPr>
            <w:tcW w:w="75" w:type="dxa"/>
            <w:tcBorders/>
            <w:shd w:fill="CCEEFF" w:val="clear"/>
            <w:vAlign w:val="center"/>
          </w:tcPr>
          <w:p>
            <w:pPr>
              <w:pStyle w:val="TableContents"/>
              <w:bidi w:val="0"/>
              <w:spacing w:before="0" w:after="283"/>
              <w:jc w:val="left"/>
              <w:rPr/>
            </w:pPr>
            <w:r>
              <w:rPr/>
              <w:t> </w:t>
            </w:r>
            <w:bookmarkStart w:id="225" w:name="xdx_401_eus-gaap--RestrictedCashAndInves"/>
            <w:bookmarkEnd w:id="225"/>
          </w:p>
        </w:tc>
      </w:tr>
      <w:tr>
        <w:trPr/>
        <w:tc>
          <w:tcPr>
            <w:tcW w:w="5435" w:type="dxa"/>
            <w:tcBorders/>
            <w:shd w:fill="FFFFFF" w:val="clear"/>
            <w:vAlign w:val="center"/>
          </w:tcPr>
          <w:p>
            <w:pPr>
              <w:pStyle w:val="TableContents"/>
              <w:bidi w:val="0"/>
              <w:spacing w:before="0" w:after="283"/>
              <w:jc w:val="left"/>
              <w:rPr/>
            </w:pPr>
            <w:r>
              <w:rPr/>
              <w:t>Restricted cash, short-term</w:t>
            </w:r>
          </w:p>
        </w:tc>
        <w:tc>
          <w:tcPr>
            <w:tcW w:w="60" w:type="dxa"/>
            <w:tcBorders/>
            <w:shd w:fill="FFFFFF" w:val="clear"/>
            <w:vAlign w:val="center"/>
          </w:tcPr>
          <w:p>
            <w:pPr>
              <w:pStyle w:val="TableContents"/>
              <w:bidi w:val="0"/>
              <w:spacing w:before="0" w:after="283"/>
              <w:jc w:val="left"/>
              <w:rPr/>
            </w:pPr>
            <w:r>
              <w:rPr/>
              <w:t> </w:t>
            </w:r>
          </w:p>
        </w:tc>
        <w:tc>
          <w:tcPr>
            <w:tcW w:w="2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pPr>
            <w:r>
              <w:rPr/>
              <w:t>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154</w:t>
            </w:r>
          </w:p>
        </w:tc>
        <w:tc>
          <w:tcPr>
            <w:tcW w:w="75" w:type="dxa"/>
            <w:tcBorders/>
            <w:shd w:fill="FFFFFF" w:val="clear"/>
            <w:vAlign w:val="center"/>
          </w:tcPr>
          <w:p>
            <w:pPr>
              <w:pStyle w:val="TableContents"/>
              <w:bidi w:val="0"/>
              <w:spacing w:before="0" w:after="283"/>
              <w:jc w:val="left"/>
              <w:rPr/>
            </w:pPr>
            <w:r>
              <w:rPr/>
              <w:t> </w:t>
            </w:r>
            <w:bookmarkStart w:id="226" w:name="xdx_400_eus-gaap--CashCashEquivalentsRes"/>
            <w:bookmarkEnd w:id="226"/>
          </w:p>
        </w:tc>
      </w:tr>
      <w:tr>
        <w:trPr/>
        <w:tc>
          <w:tcPr>
            <w:tcW w:w="5435" w:type="dxa"/>
            <w:tcBorders/>
            <w:shd w:fill="CCEEFF" w:val="clear"/>
            <w:vAlign w:val="center"/>
          </w:tcPr>
          <w:p>
            <w:pPr>
              <w:pStyle w:val="TableContents"/>
              <w:bidi w:val="0"/>
              <w:spacing w:before="0" w:after="283"/>
              <w:jc w:val="left"/>
              <w:rPr/>
            </w:pPr>
            <w:r>
              <w:rPr/>
              <w:t>Cash, cash equivalents, restricted cash and restricted cash</w:t>
            </w:r>
          </w:p>
        </w:tc>
        <w:tc>
          <w:tcPr>
            <w:tcW w:w="60" w:type="dxa"/>
            <w:tcBorders/>
            <w:shd w:fill="CCEEFF" w:val="clear"/>
            <w:vAlign w:val="center"/>
          </w:tcPr>
          <w:p>
            <w:pPr>
              <w:pStyle w:val="TableContents"/>
              <w:bidi w:val="0"/>
              <w:spacing w:before="0" w:after="283"/>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4" w:type="dxa"/>
            <w:tcBorders>
              <w:bottom w:val="double" w:sz="6" w:space="0" w:color="000000"/>
            </w:tcBorders>
            <w:shd w:fill="CCEEFF" w:val="clear"/>
            <w:tcMar>
              <w:bottom w:w="28" w:type="dxa"/>
            </w:tcMar>
            <w:vAlign w:val="center"/>
          </w:tcPr>
          <w:p>
            <w:pPr>
              <w:pStyle w:val="TableContents"/>
              <w:bidi w:val="0"/>
              <w:spacing w:before="0" w:after="283"/>
              <w:jc w:val="right"/>
              <w:rPr/>
            </w:pPr>
            <w:r>
              <w:rPr/>
              <w:t>7,510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pPr>
            <w:r>
              <w:rPr/>
              <w:t>8,873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27" w:name="xdx_8A5_zF0Zx8SRY4eb"/>
      <w:bookmarkEnd w:id="227"/>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28" w:name="xdx_84E_eus-gaap--InventoryPolicyTextBlo"/>
      <w:bookmarkEnd w:id="228"/>
      <w:r>
        <w:rPr>
          <w:rFonts w:ascii="Times New Roman;Times;Serif" w:hAnsi="Times New Roman;Times;Serif"/>
          <w:b/>
          <w:i/>
          <w:caps w:val="false"/>
          <w:smallCaps w:val="false"/>
          <w:sz w:val="20"/>
        </w:rPr>
        <w:t xml:space="preserve">(d) </w:t>
      </w:r>
      <w:bookmarkStart w:id="229" w:name="xdx_866_zYgcLhraXEB"/>
      <w:bookmarkEnd w:id="229"/>
      <w:r>
        <w:rPr>
          <w:rFonts w:ascii="Times New Roman;Times;Serif" w:hAnsi="Times New Roman;Times;Serif"/>
          <w:b/>
          <w:i/>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330 - </w:t>
      </w:r>
      <w:r>
        <w:rPr>
          <w:rFonts w:ascii="Times New Roman;Times;Serif" w:hAnsi="Times New Roman;Times;Serif"/>
          <w:b w:val="false"/>
          <w:i/>
          <w:caps w:val="false"/>
          <w:smallCaps w:val="false"/>
          <w:sz w:val="20"/>
        </w:rPr>
        <w:t>Inventory</w:t>
      </w:r>
      <w:r>
        <w:rPr>
          <w:rFonts w:ascii="Times New Roman;Times;Serif" w:hAnsi="Times New Roman;Times;Serif"/>
          <w:b w:val="false"/>
          <w:i w:val="false"/>
          <w:caps w:val="false"/>
          <w:smallCaps w:val="false"/>
          <w:sz w:val="20"/>
        </w:rPr>
        <w:t>, inventory is stated at the lower of cost or net realizable value applicable to goods on hand. As of both July 31, 2026 and April 30, 2026, the Company had an inventory reserve of $</w:t>
      </w:r>
      <w:bookmarkStart w:id="230" w:name="xdx_902_eus-gaap--InventoryValuationRese"/>
      <w:bookmarkStart w:id="231" w:name="xdx_908_eus-gaap--InventoryValuationRese"/>
      <w:bookmarkEnd w:id="230"/>
      <w:bookmarkEnd w:id="231"/>
      <w:r>
        <w:rPr>
          <w:rFonts w:ascii="Times New Roman;Times;Serif" w:hAnsi="Times New Roman;Times;Serif"/>
          <w:b w:val="false"/>
          <w:i w:val="false"/>
          <w:caps w:val="false"/>
          <w:smallCaps w:val="false"/>
          <w:sz w:val="20"/>
        </w:rPr>
        <w:t>745,000 to recognize inventory at the lower of cost or net realizable value. Items remain in inventory until they are shipped to the customer, at which time the costs are transferred on a first in first out basis to cost of revenues, or moved to leased assets as applicable, following the matching principle where costs and revenues are recognized in the same period. The Company has three classes of inventory; raw materials, work in process, and finished goods.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32" w:name="xdx_84F_eus-gaap--TradeAndOtherAccountsR"/>
      <w:bookmarkEnd w:id="232"/>
      <w:r>
        <w:rPr>
          <w:rFonts w:ascii="Times New Roman;Times;Serif" w:hAnsi="Times New Roman;Times;Serif"/>
          <w:b/>
          <w:i/>
          <w:caps w:val="false"/>
          <w:smallCaps w:val="false"/>
          <w:sz w:val="20"/>
        </w:rPr>
        <w:t xml:space="preserve">(e) </w:t>
      </w:r>
      <w:bookmarkStart w:id="233" w:name="xdx_861_zhAKkLZYPAP2"/>
      <w:bookmarkEnd w:id="233"/>
      <w:r>
        <w:rPr>
          <w:rFonts w:ascii="Times New Roman;Times;Serif" w:hAnsi="Times New Roman;Times;Serif"/>
          <w:b/>
          <w:i/>
          <w:caps w:val="false"/>
          <w:smallCaps w:val="false"/>
          <w:sz w:val="20"/>
        </w:rPr>
        <w:t>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are stated at the net amount expected to be collected. Amounts are usually due between 30 and 90 days after the invoice issuance. The Company is exposed to credit losses primarily on accounts receivable and contract assets related to sales to customers. If applicable, an allowance for credit losses is established to provide for the expected lifetime credit losses by evaluating factors such as customer creditworthiness, historical payment and loss experiences, current economic conditions (including geographic and political risk), and the age and status of outstanding receivables. During the three months ended July 31, 2026, the Company did not adjust its allowance for credit losses. The allowance for credit losses was $</w:t>
      </w:r>
      <w:bookmarkStart w:id="234" w:name="xdx_906_eus-gaap--AllowanceForDoubtfulAc"/>
      <w:bookmarkStart w:id="235" w:name="xdx_90C_eus-gaap--AllowanceForDoubtfulAc"/>
      <w:bookmarkEnd w:id="234"/>
      <w:bookmarkEnd w:id="235"/>
      <w:r>
        <w:rPr>
          <w:rFonts w:ascii="Times New Roman;Times;Serif" w:hAnsi="Times New Roman;Times;Serif"/>
          <w:b w:val="false"/>
          <w:i w:val="false"/>
          <w:caps w:val="false"/>
          <w:smallCaps w:val="false"/>
          <w:sz w:val="20"/>
        </w:rPr>
        <w:t>652,000 at both July 31, 2026 and April 30, 2026. Expected credit losses are written off in the period in which the underlying financial assets are determined to be uncollectible.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grants credit to its customers, generally, without collateral, under normal payment terms. Generally, invoicing occurs after the services are performed or control of the product has transferred to the customer. Accounts receivable represents an unconditional right to consideration arising from the Company’s performance under contracts with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36" w:name="xdx_84E_eus-gaap--PropertyPlantAndEquipm"/>
      <w:bookmarkEnd w:id="236"/>
      <w:r>
        <w:rPr>
          <w:rFonts w:ascii="Times New Roman;Times;Serif" w:hAnsi="Times New Roman;Times;Serif"/>
          <w:b/>
          <w:i/>
          <w:caps w:val="false"/>
          <w:smallCaps w:val="false"/>
          <w:sz w:val="20"/>
        </w:rPr>
        <w:t xml:space="preserve">(f) </w:t>
      </w:r>
      <w:bookmarkStart w:id="237" w:name="xdx_86A_zv0d7takaMB3"/>
      <w:bookmarkEnd w:id="237"/>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is stated at cost, less accumulated depreciation and amortization. Depreciation and amortization is calculated using the straight-line method over the estimated useful lives (three to seven years) of the assets. Leasehold improvements are amortized using the straight-line method over the shorter of the estimated useful life of the asset or the remaining lease term.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pStyle w:val="TextBody"/>
        <w:bidi w:val="0"/>
        <w:spacing w:before="0" w:after="0"/>
        <w:ind w:left="0" w:right="0" w:hanging="0"/>
        <w:jc w:val="both"/>
        <w:rPr>
          <w:caps w:val="false"/>
          <w:smallCaps w:val="false"/>
        </w:rPr>
      </w:pPr>
      <w:bookmarkStart w:id="238" w:name="xdx_898_ecustom--PropertyPlantAndEquipme"/>
      <w:bookmarkEnd w:id="238"/>
      <w:r>
        <w:rPr>
          <w:caps w:val="false"/>
          <w:smallCaps w:val="false"/>
        </w:rPr>
        <w:t> </w:t>
      </w:r>
      <w:bookmarkStart w:id="239" w:name="xdx_8B8_zUFu5TK3FhY1"/>
      <w:bookmarkEnd w:id="239"/>
      <w:r>
        <w:rPr>
          <w:rFonts w:ascii="Times New Roman;Times;Serif" w:hAnsi="Times New Roman;Times;Serif"/>
          <w:b w:val="false"/>
          <w:i w:val="false"/>
          <w:caps w:val="false"/>
          <w:smallCaps w:val="false"/>
          <w:sz w:val="20"/>
        </w:rPr>
        <w:t>Schedule of Property and Equipment Estimated Useful Life</w:t>
      </w:r>
    </w:p>
    <w:tbl>
      <w:tblPr>
        <w:tblW w:w="7165" w:type="dxa"/>
        <w:jc w:val="left"/>
        <w:tblInd w:w="0" w:type="dxa"/>
        <w:tblLayout w:type="fixed"/>
        <w:tblCellMar>
          <w:top w:w="0" w:type="dxa"/>
          <w:left w:w="0" w:type="dxa"/>
          <w:bottom w:w="28" w:type="dxa"/>
          <w:right w:w="0" w:type="dxa"/>
        </w:tblCellMar>
      </w:tblPr>
      <w:tblGrid>
        <w:gridCol w:w="3230"/>
        <w:gridCol w:w="60"/>
        <w:gridCol w:w="3875"/>
      </w:tblGrid>
      <w:tr>
        <w:trPr/>
        <w:tc>
          <w:tcPr>
            <w:tcW w:w="323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 depreciable life</w:t>
            </w:r>
          </w:p>
        </w:tc>
      </w:tr>
      <w:tr>
        <w:trPr/>
        <w:tc>
          <w:tcPr>
            <w:tcW w:w="323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323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40" w:name="xdx_905_eus-gaap--PropertyPlantAndEquipm"/>
            <w:bookmarkEnd w:id="240"/>
            <w:r>
              <w:rPr>
                <w:rFonts w:ascii="Times New Roman;Times;Serif" w:hAnsi="Times New Roman;Times;Serif"/>
                <w:b w:val="false"/>
                <w:i w:val="false"/>
                <w:caps w:val="false"/>
                <w:smallCaps w:val="false"/>
                <w:sz w:val="20"/>
              </w:rPr>
              <w:t>5-</w:t>
            </w:r>
            <w:bookmarkStart w:id="241" w:name="xdx_90D_eus-gaap--PropertyPlantAndEquipm"/>
            <w:bookmarkEnd w:id="241"/>
            <w:r>
              <w:rPr>
                <w:rFonts w:ascii="Times New Roman;Times;Serif" w:hAnsi="Times New Roman;Times;Serif"/>
                <w:b w:val="false"/>
                <w:i w:val="false"/>
                <w:caps w:val="false"/>
                <w:smallCaps w:val="false"/>
                <w:sz w:val="20"/>
              </w:rPr>
              <w:t>7 years</w:t>
            </w:r>
          </w:p>
        </w:tc>
      </w:tr>
      <w:tr>
        <w:trPr/>
        <w:tc>
          <w:tcPr>
            <w:tcW w:w="323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equipment &amp; software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42" w:name="xdx_905_eus-gaap--PropertyPlantAndEquipm"/>
            <w:bookmarkEnd w:id="242"/>
            <w:r>
              <w:rPr>
                <w:rFonts w:ascii="Times New Roman;Times;Serif" w:hAnsi="Times New Roman;Times;Serif"/>
                <w:b w:val="false"/>
                <w:i w:val="false"/>
                <w:caps w:val="false"/>
                <w:smallCaps w:val="false"/>
                <w:sz w:val="20"/>
              </w:rPr>
              <w:t>3 years</w:t>
            </w:r>
          </w:p>
        </w:tc>
      </w:tr>
      <w:tr>
        <w:trPr/>
        <w:tc>
          <w:tcPr>
            <w:tcW w:w="323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furniture &amp; fixtures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43" w:name="xdx_90A_eus-gaap--PropertyPlantAndEquipm"/>
            <w:bookmarkEnd w:id="243"/>
            <w:r>
              <w:rPr>
                <w:rFonts w:ascii="Times New Roman;Times;Serif" w:hAnsi="Times New Roman;Times;Serif"/>
                <w:b w:val="false"/>
                <w:i w:val="false"/>
                <w:caps w:val="false"/>
                <w:smallCaps w:val="false"/>
                <w:sz w:val="20"/>
              </w:rPr>
              <w:t>3-</w:t>
            </w:r>
            <w:bookmarkStart w:id="244" w:name="xdx_902_eus-gaap--PropertyPlantAndEquipm"/>
            <w:bookmarkEnd w:id="244"/>
            <w:r>
              <w:rPr>
                <w:rFonts w:ascii="Times New Roman;Times;Serif" w:hAnsi="Times New Roman;Times;Serif"/>
                <w:b w:val="false"/>
                <w:i w:val="false"/>
                <w:caps w:val="false"/>
                <w:smallCaps w:val="false"/>
                <w:sz w:val="20"/>
              </w:rPr>
              <w:t>7 years</w:t>
            </w:r>
          </w:p>
        </w:tc>
      </w:tr>
      <w:tr>
        <w:trPr/>
        <w:tc>
          <w:tcPr>
            <w:tcW w:w="323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45" w:name="xdx_905_eus-gaap--PropertyPlantAndEquipm"/>
            <w:bookmarkEnd w:id="245"/>
            <w:r>
              <w:rPr>
                <w:rFonts w:ascii="Times New Roman;Times;Serif" w:hAnsi="Times New Roman;Times;Serif"/>
                <w:b w:val="false"/>
                <w:i w:val="false"/>
                <w:caps w:val="false"/>
                <w:smallCaps w:val="false"/>
                <w:sz w:val="20"/>
              </w:rPr>
              <w:t>Shorter of the estimated useful life or lease term</w:t>
            </w:r>
          </w:p>
        </w:tc>
      </w:tr>
      <w:tr>
        <w:trPr/>
        <w:tc>
          <w:tcPr>
            <w:tcW w:w="323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Power Buoy and mooring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46" w:name="xdx_90F_eus-gaap--PropertyPlantAndEquipm"/>
            <w:bookmarkEnd w:id="246"/>
            <w:r>
              <w:rPr>
                <w:rFonts w:ascii="Times New Roman;Times;Serif" w:hAnsi="Times New Roman;Times;Serif"/>
                <w:b w:val="false"/>
                <w:i w:val="false"/>
                <w:caps w:val="false"/>
                <w:smallCaps w:val="false"/>
                <w:sz w:val="20"/>
              </w:rPr>
              <w:t>7 years</w:t>
            </w:r>
          </w:p>
        </w:tc>
      </w:tr>
      <w:tr>
        <w:trPr/>
        <w:tc>
          <w:tcPr>
            <w:tcW w:w="323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WAM-V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47" w:name="xdx_90D_eus-gaap--PropertyPlantAndEquipm"/>
            <w:bookmarkEnd w:id="247"/>
            <w:r>
              <w:rPr>
                <w:rFonts w:ascii="Times New Roman;Times;Serif" w:hAnsi="Times New Roman;Times;Serif"/>
                <w:b w:val="false"/>
                <w:i w:val="false"/>
                <w:caps w:val="false"/>
                <w:smallCaps w:val="false"/>
                <w:sz w:val="20"/>
              </w:rPr>
              <w:t>7 years</w:t>
            </w:r>
          </w:p>
        </w:tc>
      </w:tr>
    </w:tbl>
    <w:p>
      <w:pPr>
        <w:pStyle w:val="TextBody"/>
        <w:bidi w:val="0"/>
        <w:spacing w:before="0" w:after="0"/>
        <w:ind w:left="0" w:right="0" w:hanging="0"/>
        <w:jc w:val="both"/>
        <w:rPr>
          <w:caps w:val="false"/>
          <w:smallCaps w:val="false"/>
        </w:rPr>
      </w:pPr>
      <w:bookmarkStart w:id="248" w:name="xdx_8AB_zsncAtIo6w16"/>
      <w:bookmarkEnd w:id="248"/>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49" w:name="xdx_84E_eus-gaap--ForeignCurrencyTransac"/>
      <w:bookmarkEnd w:id="249"/>
      <w:r>
        <w:rPr>
          <w:rFonts w:ascii="Times New Roman;Times;Serif" w:hAnsi="Times New Roman;Times;Serif"/>
          <w:b/>
          <w:i/>
          <w:caps w:val="false"/>
          <w:smallCaps w:val="false"/>
          <w:sz w:val="20"/>
        </w:rPr>
        <w:t xml:space="preserve">(g) </w:t>
      </w:r>
      <w:bookmarkStart w:id="250" w:name="xdx_862_zXsnxBixRNti"/>
      <w:bookmarkEnd w:id="250"/>
      <w:r>
        <w:rPr>
          <w:rFonts w:ascii="Times New Roman;Times;Serif" w:hAnsi="Times New Roman;Times;Serif"/>
          <w:b/>
          <w:i/>
          <w:caps w:val="false"/>
          <w:smallCaps w:val="false"/>
          <w:sz w:val="20"/>
        </w:rPr>
        <w:t>Foreign Exchange Gains and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denominated in a foreign currency may result in realized and unrealized foreign exchange gains or losses from exchange rate fluctuations, which, if applicable, are included in “Foreign exchange loss” in the accompanying Consolidated Statements of Operations.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51" w:name="xdx_84E_eus-gaap--ConcentrationRiskCredi"/>
      <w:bookmarkEnd w:id="251"/>
      <w:r>
        <w:rPr>
          <w:rFonts w:ascii="Times New Roman;Times;Serif" w:hAnsi="Times New Roman;Times;Serif"/>
          <w:b/>
          <w:i/>
          <w:caps w:val="false"/>
          <w:smallCaps w:val="false"/>
          <w:sz w:val="20"/>
        </w:rPr>
        <w:t xml:space="preserve">(h) </w:t>
      </w:r>
      <w:bookmarkStart w:id="252" w:name="xdx_863_zpkWpPsjrTIi"/>
      <w:bookmarkEnd w:id="252"/>
      <w:r>
        <w:rPr>
          <w:rFonts w:ascii="Times New Roman;Times;Serif" w:hAnsi="Times New Roman;Times;Serif"/>
          <w:b/>
          <w:i/>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credit risk consist principally of trade accounts receivable and cash equivalents. The Company believes that its credit risk is limited because the Company’s current contracts are with entities with a reliable payment history. The Company performs a credit evaluation of new customers prior to extending credit terms and monitors existing customers for changes in credit quality. The Company invests its excess cash in a money market fund and does not believe that it is exposed to any significant risks related to its cash accounts or money market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each of the three months ended July 31, 2026 and 2025, the Company had three and four customers, respectively, whose revenues accounted for at least 10% of the Company’s consolidated revenues. These revenues accounted for approximately </w:t>
      </w:r>
      <w:bookmarkStart w:id="253" w:name="xdx_90E_eus-gaap--ConcentrationRiskPerce"/>
      <w:bookmarkEnd w:id="253"/>
      <w:r>
        <w:rPr>
          <w:rFonts w:ascii="Times New Roman;Times;Serif" w:hAnsi="Times New Roman;Times;Serif"/>
          <w:b w:val="false"/>
          <w:i w:val="false"/>
          <w:caps w:val="false"/>
          <w:smallCaps w:val="false"/>
          <w:sz w:val="20"/>
        </w:rPr>
        <w:t xml:space="preserve">87% and </w:t>
      </w:r>
      <w:bookmarkStart w:id="254" w:name="xdx_904_eus-gaap--ConcentrationRiskPerce"/>
      <w:bookmarkEnd w:id="254"/>
      <w:r>
        <w:rPr>
          <w:rFonts w:ascii="Times New Roman;Times;Serif" w:hAnsi="Times New Roman;Times;Serif"/>
          <w:b w:val="false"/>
          <w:i w:val="false"/>
          <w:caps w:val="false"/>
          <w:smallCaps w:val="false"/>
          <w:sz w:val="20"/>
        </w:rPr>
        <w:t>89% of the Company’s total revenues for the respective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both July 31, 2026 and 2025, the Company had five customers, whose total receivable balance accounted for at least 10% of the Company’s consolidated receivables. These receivables accounted for approximately </w:t>
      </w:r>
      <w:bookmarkStart w:id="255" w:name="xdx_90B_eus-gaap--ConcentrationRiskPerce"/>
      <w:bookmarkEnd w:id="255"/>
      <w:r>
        <w:rPr>
          <w:rFonts w:ascii="Times New Roman;Times;Serif" w:hAnsi="Times New Roman;Times;Serif"/>
          <w:b w:val="false"/>
          <w:i w:val="false"/>
          <w:caps w:val="false"/>
          <w:smallCaps w:val="false"/>
          <w:sz w:val="20"/>
        </w:rPr>
        <w:t xml:space="preserve">93% and </w:t>
      </w:r>
      <w:bookmarkStart w:id="256" w:name="xdx_903_eus-gaap--ConcentrationRiskPerce"/>
      <w:bookmarkEnd w:id="256"/>
      <w:r>
        <w:rPr>
          <w:rFonts w:ascii="Times New Roman;Times;Serif" w:hAnsi="Times New Roman;Times;Serif"/>
          <w:b w:val="false"/>
          <w:i w:val="false"/>
          <w:caps w:val="false"/>
          <w:smallCaps w:val="false"/>
          <w:sz w:val="20"/>
        </w:rPr>
        <w:t>79% of the Company’s total receivables for July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July 31, 2026, one commercial customer represented about </w:t>
      </w:r>
      <w:bookmarkStart w:id="257" w:name="xdx_90B_eus-gaap--ConcentrationRiskPerce"/>
      <w:bookmarkEnd w:id="257"/>
      <w:r>
        <w:rPr>
          <w:rFonts w:ascii="Times New Roman;Times;Serif" w:hAnsi="Times New Roman;Times;Serif"/>
          <w:b w:val="false"/>
          <w:i w:val="false"/>
          <w:caps w:val="false"/>
          <w:smallCaps w:val="false"/>
          <w:sz w:val="20"/>
        </w:rPr>
        <w:t xml:space="preserve">14% of our accounts receivable balance. As part of that contract, we granted extended payment terms that are not typical for the Company, which increases our credit exposure. We continue to monitor this receivable closely, and while we have not recorded an allowance because we believe collectability is probable, we acknowledge that these terms carry additional risk if the customer’s financial condition changes. In addition, we have fully reserved one other receivable balance from one customer that represented </w:t>
      </w:r>
      <w:bookmarkStart w:id="258" w:name="xdx_906_eus-gaap--ConcentrationRiskPerce"/>
      <w:bookmarkEnd w:id="258"/>
      <w:r>
        <w:rPr>
          <w:rFonts w:ascii="Times New Roman;Times;Serif" w:hAnsi="Times New Roman;Times;Serif"/>
          <w:b w:val="false"/>
          <w:i w:val="false"/>
          <w:caps w:val="false"/>
          <w:smallCaps w:val="false"/>
          <w:sz w:val="20"/>
        </w:rPr>
        <w:t>20% of the total gross accounts receivable balance, recognizing a loss of $</w:t>
      </w:r>
      <w:bookmarkStart w:id="259" w:name="xdx_902_eus-gaap--IncomeTaxExpenseBenefi"/>
      <w:bookmarkEnd w:id="259"/>
      <w:r>
        <w:rPr>
          <w:rFonts w:ascii="Times New Roman;Times;Serif" w:hAnsi="Times New Roman;Times;Serif"/>
          <w:b w:val="false"/>
          <w:i w:val="false"/>
          <w:caps w:val="false"/>
          <w:smallCaps w:val="false"/>
          <w:sz w:val="20"/>
        </w:rPr>
        <w:t>373,000 for the prior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60" w:name="xdx_844_eus-gaap--ShareBasedCompensation"/>
      <w:bookmarkEnd w:id="260"/>
      <w:r>
        <w:rPr>
          <w:rFonts w:ascii="Times New Roman;Times;Serif" w:hAnsi="Times New Roman;Times;Serif"/>
          <w:b/>
          <w:i/>
          <w:caps w:val="false"/>
          <w:smallCaps w:val="false"/>
          <w:sz w:val="20"/>
        </w:rPr>
        <w:t xml:space="preserve">(i) </w:t>
      </w:r>
      <w:bookmarkStart w:id="261" w:name="xdx_861_zGQHzQIOnE2f"/>
      <w:bookmarkEnd w:id="261"/>
      <w:r>
        <w:rPr>
          <w:rFonts w:ascii="Times New Roman;Times;Serif" w:hAnsi="Times New Roman;Times;Serif"/>
          <w:b/>
          <w:i/>
          <w:caps w:val="false"/>
          <w:smallCaps w:val="false"/>
          <w:sz w:val="20"/>
        </w:rPr>
        <w:t>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resulting from all share-based payment transactions are recognized in the consolidated financial statements at their fair values. The aggregate share-based compensation expense recorded in the Consolidated Statements of Operations for the three months ended July 31, 2026 and 2025 was approximately $</w:t>
      </w:r>
      <w:bookmarkStart w:id="262" w:name="xdx_905_eus-gaap--ShareBasedCompensation"/>
      <w:bookmarkEnd w:id="262"/>
      <w:r>
        <w:rPr>
          <w:rFonts w:ascii="Times New Roman;Times;Serif" w:hAnsi="Times New Roman;Times;Serif"/>
          <w:b w:val="false"/>
          <w:i w:val="false"/>
          <w:caps w:val="false"/>
          <w:smallCaps w:val="false"/>
          <w:sz w:val="20"/>
        </w:rPr>
        <w:t>1.8 million and $</w:t>
      </w:r>
      <w:bookmarkStart w:id="263" w:name="xdx_90B_eus-gaap--ShareBasedCompensation"/>
      <w:bookmarkEnd w:id="263"/>
      <w:r>
        <w:rPr>
          <w:rFonts w:ascii="Times New Roman;Times;Serif" w:hAnsi="Times New Roman;Times;Serif"/>
          <w:b w:val="false"/>
          <w:i w:val="false"/>
          <w:caps w:val="false"/>
          <w:smallCaps w:val="false"/>
          <w:sz w:val="20"/>
        </w:rPr>
        <w:t>2.4 million, respectively. The Company’s policy is to account for forfeitures of share-based compensation awards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upon vesting of Restricted Stock Units (“RSU”) that were granted to an employee, the employee is given the option to either pay the taxes themselves, or have enough shares of their RSU award withheld by the Company to cover the taxes incurred by the employee. In the event the employee elects to surrender shares to cover the tax obligation, the Company maintains those shares in the Company’s treasury stock account. Shares held in the Company’s treasury stock account are not available for future RSU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64" w:name="xdx_84D_eus-gaap--RevenueFromContractWit"/>
      <w:bookmarkEnd w:id="264"/>
      <w:r>
        <w:rPr>
          <w:rFonts w:ascii="Times New Roman;Times;Serif" w:hAnsi="Times New Roman;Times;Serif"/>
          <w:b/>
          <w:i/>
          <w:caps w:val="false"/>
          <w:smallCaps w:val="false"/>
          <w:sz w:val="20"/>
        </w:rPr>
        <w:t xml:space="preserve">(j) </w:t>
      </w:r>
      <w:bookmarkStart w:id="265" w:name="xdx_860_z1xebLOEcmse"/>
      <w:bookmarkEnd w:id="265"/>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revenue in accordance with ASC Topic 606 –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xml:space="preserve"> (“ASC 606”) for contracts with customers and ASC Topic 842 – </w:t>
      </w:r>
      <w:r>
        <w:rPr>
          <w:rFonts w:ascii="Times New Roman;Times;Serif" w:hAnsi="Times New Roman;Times;Serif"/>
          <w:b w:val="false"/>
          <w:i/>
          <w:caps w:val="false"/>
          <w:smallCaps w:val="false"/>
          <w:sz w:val="20"/>
        </w:rPr>
        <w:t xml:space="preserve">Leases </w:t>
      </w:r>
      <w:r>
        <w:rPr>
          <w:rFonts w:ascii="Times New Roman;Times;Serif" w:hAnsi="Times New Roman;Times;Serif"/>
          <w:b w:val="false"/>
          <w:i w:val="false"/>
          <w:caps w:val="false"/>
          <w:smallCaps w:val="false"/>
          <w:sz w:val="20"/>
        </w:rPr>
        <w:t>(“ASC 842”) for leasing arrangements. In relation to ASC 606, which states that a performance obligation is the unit of account for revenue recognition, the Company assesses the goods or services promised in a contract with a customer and identifies a performance obligation as either: a) a good or service (or a bundle of goods and/or services) that is distinct; or b) a series of distinct goods or services that are substantially the same and that have the same pattern of transfer to the customer. A contract may contain a single performance obligation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When no observable standalone selling price is available, the standalone selling price is generally estimated based upon the Company’s forecast of the total cost to satisfy the performance obligation plus an appropriate profit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Company’s contracts may give rise to several types of variable consideration, including unpriced change orders,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Estimates of variable consideration and determination of whether to include such amounts in the transaction price are based largely on the assessment of legal enforceability, performance, and any other information (historical, current, and forecasted) that is reasonably available to us. There was no variable consideration as of July 31, 2026 or 2025. The Company presents shipping and handling costs, that occur after control of the promised goods or services transfer to the customer, as fulfillment costs in costs of goods sold and regular shipping and handling activities charged to operating expenses.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when or as it satisfies a performance obligation by transferring a good or service to a customer, either (1) at a point in time or (2) over time. A good or service is transferred when or as the customer obtains control (e.g., upon shipment, upon delivery, as services are rendered, or upon completion of service), including when performance obligations are satisfied in a bill-and-hold arrangement. The evaluation of whether control of each performance obligation is transferred at a point in time or over time is made at contract inception. Input measures such as costs incurred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best represents the measure of progress against the performance obligations incorporated within the contractual agreements. If estimated total costs on any contract project a loss, the Company charges the entire estimated loss to operations in the period the loss becomes known. The cumulative effect of revisions to revenue, estimated costs to complete contracts, including penalties, change orders, claims, anticipated losses, and others are recorded in the accounting period in which the events indicating a loss are known and the loss can be reasonably estimated. These loss projections are re-assessed for each subsequent reporting period until the project is complete. Such revisions could occur at any time and the effects may be material. During the three-month period ended July 31, 2026, the Company recognized approximately $</w:t>
      </w:r>
      <w:bookmarkStart w:id="266" w:name="xdx_909_eus-gaap--Revenues_pn5n6_c202605"/>
      <w:bookmarkEnd w:id="266"/>
      <w:r>
        <w:rPr>
          <w:rFonts w:ascii="Times New Roman;Times;Serif" w:hAnsi="Times New Roman;Times;Serif"/>
          <w:b w:val="false"/>
          <w:i w:val="false"/>
          <w:caps w:val="false"/>
          <w:smallCaps w:val="false"/>
          <w:sz w:val="20"/>
        </w:rPr>
        <w:t>1.0 million in revenue related to performance obligations satisfied at a point in time and less than $</w:t>
      </w:r>
      <w:bookmarkStart w:id="267" w:name="xdx_90C_eus-gaap--Revenues_pn5n6_c202605"/>
      <w:bookmarkEnd w:id="267"/>
      <w:r>
        <w:rPr>
          <w:rFonts w:ascii="Times New Roman;Times;Serif" w:hAnsi="Times New Roman;Times;Serif"/>
          <w:b w:val="false"/>
          <w:i w:val="false"/>
          <w:caps w:val="false"/>
          <w:smallCaps w:val="false"/>
          <w:sz w:val="20"/>
        </w:rPr>
        <w:t>0.1 million in revenue related to performance obligations satisfied over time. During the three-month period ended July 31, 2025, the Company recognized approximately $</w:t>
      </w:r>
      <w:bookmarkStart w:id="268" w:name="xdx_90E_eus-gaap--Revenues_pn5n6_c202505"/>
      <w:bookmarkEnd w:id="268"/>
      <w:r>
        <w:rPr>
          <w:rFonts w:ascii="Times New Roman;Times;Serif" w:hAnsi="Times New Roman;Times;Serif"/>
          <w:b w:val="false"/>
          <w:i w:val="false"/>
          <w:caps w:val="false"/>
          <w:smallCaps w:val="false"/>
          <w:sz w:val="20"/>
        </w:rPr>
        <w:t>1.0 million in revenue related to performance obligations satisfied at a point in time and approximately $</w:t>
      </w:r>
      <w:bookmarkStart w:id="269" w:name="xdx_90F_eus-gaap--Revenues_pn5n6_c202505"/>
      <w:bookmarkEnd w:id="269"/>
      <w:r>
        <w:rPr>
          <w:rFonts w:ascii="Times New Roman;Times;Serif" w:hAnsi="Times New Roman;Times;Serif"/>
          <w:b w:val="false"/>
          <w:i w:val="false"/>
          <w:caps w:val="false"/>
          <w:smallCaps w:val="false"/>
          <w:sz w:val="20"/>
        </w:rPr>
        <w:t>0.2 million in revenue related to performance obligations satisfied over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are either cost-plus contracts, fixed-price contracts, time and material agreements, lease agreements or service agreements. Under cost plus contracts, customers are billed for actual expenses incurred plus an agreed-upon fee.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two types of fixed-price contracts, firm fixed-price and cost-sharing. Under firm fixed-price contracts, the Company receives an agreed-upon amount for providing products and services specified in the contract, and a profit or loss is recognized depending on whether actual costs are more or less than the agreed-upon amount. Under cost-sharing contracts, the fixed amount agreed upon with the customer is only intended to fund a portion of the costs on a specific project. Under cost-sharing contracts, an amount corresponding to the revenue is recorded in cost of revenue, resulting in gross profit on these contracts of zero. There is $</w:t>
      </w:r>
      <w:bookmarkStart w:id="270" w:name="xdx_903_eus-gaap--RevenueFromContractWit"/>
      <w:bookmarkEnd w:id="270"/>
      <w:r>
        <w:rPr>
          <w:rFonts w:ascii="Times New Roman;Times;Serif" w:hAnsi="Times New Roman;Times;Serif"/>
          <w:b w:val="false"/>
          <w:i w:val="false"/>
          <w:caps w:val="false"/>
          <w:smallCaps w:val="false"/>
          <w:sz w:val="20"/>
        </w:rPr>
        <w:t>0.3 million recognized in revenue as of July 31, 2026 related to zero margin agreements. The Company reports its disaggregation of revenue by contract type since this method best represents the Company’s business. For each of the three-month periods ended July 31, 2026 and 2025, the majority of the Company’s contracts were classified as firm fixed-price and the remainder were cost-sharing.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product sales are made under Ex Works (“EXW”) shipping terms. For these arrangements, the Company’s performance obligation is satisfied, and revenue is recognized, at a point in time when the product has been completed, is available for customer pickup at the Company’s designated facility, and control transfers to the customer. Control is considered to transfer when the customer has the present right to direct the use of, and obtain substantially all of the remaining benefits from, the product, including legal title and risk of loss in accordance with the contractual shipping terms. Under EXW arrangements, the customer is responsible for transportation, export and import clearance, freight costs, insurance, and all risks associated with the shipment after pickup. Shipping and handling activities performed by the Company after control transfers, if any, are accounted for as fulfillment activities and do not represent separate performance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contract-related balances.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also includes revenue from certain contracts which do not fall within the scope of ASC 606, but under the scope of ASC 842, “Leases.” At inception of a contract for those classified under ASC 842, the Company classifies leases as either operating or financing in accordance with the authoritative accounting guidance contained within ASC 842. If the direct financing or sales-type classification criteria are met, then the lease is accounted for as a financing lease. All others are treated as operating leases. The Company recognizes revenue from operating lease arrangements generally on a straight-line basis over the lease term, or as agreed upon in-use days are utilized, which is presented in Revenues in the Consolidated Statement of Operations. The Company also enters into lease arrangements for its PowerBuoys® and Wave Adaptive Modular Vessels (“WAM-V®”) with certain customers. Revenue related to multiple-element arrangements is allocated to lease and non-lease elements based on their relative standalone selling prices or expected cost plus a margin approach. Lease elements generally include a PowerBuoy®, WAM-V®, and components, while non-lease elements, which the Company expects to become more prevalent, generally include engineering, monitoring and support services. In the lease arrangement, the customer may be provided with an option to extend the lease term or purchase the leased buoy or WAM-V® at some point during and/or at the end of the lease term.</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31, 2026, the Company’s remaining performance obligations that are expected to be recognized in the next 12 months totaled $</w:t>
      </w:r>
      <w:bookmarkStart w:id="271" w:name="xdx_90A_eus-gaap--RevenueRemainingPerfor"/>
      <w:bookmarkEnd w:id="271"/>
      <w:r>
        <w:rPr>
          <w:rFonts w:ascii="Times New Roman;Times;Serif" w:hAnsi="Times New Roman;Times;Serif"/>
          <w:b w:val="false"/>
          <w:i w:val="false"/>
          <w:caps w:val="false"/>
          <w:smallCaps w:val="false"/>
          <w:sz w:val="20"/>
        </w:rPr>
        <w:t>1.1 million Existing customers are subject to ongoing credit evaluations based on payment history and other factors. If it is determined that collectability of any portion of the contract value is not probable, an analysis of variable consideration will be performed using either the most likely amount or expected value method to determine the amount of revenue that must be constrained until the scenario causing the variability has been resolved.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record taxes collected from customers on a net basis and does not include tax amounts in revenue or costs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2" w:name="xdx_890_eus-gaap--DisaggregationOfRevenu"/>
      <w:bookmarkEnd w:id="272"/>
      <w:r>
        <w:rPr>
          <w:rFonts w:ascii="Times New Roman;Times;Serif" w:hAnsi="Times New Roman;Times;Serif"/>
          <w:b w:val="false"/>
          <w:i w:val="false"/>
          <w:caps w:val="false"/>
          <w:smallCaps w:val="false"/>
          <w:sz w:val="20"/>
        </w:rPr>
        <w:t>The table below represents the total revenue recognized under ASC 606 and ASC 842 for the three months ended July 31, 2026 and 2025.</w:t>
      </w:r>
    </w:p>
    <w:p>
      <w:pPr>
        <w:pStyle w:val="TextBody"/>
        <w:bidi w:val="0"/>
        <w:spacing w:before="0" w:after="0"/>
        <w:ind w:left="0" w:right="0" w:hanging="0"/>
        <w:jc w:val="both"/>
        <w:rPr>
          <w:caps w:val="false"/>
          <w:smallCaps w:val="false"/>
        </w:rPr>
      </w:pPr>
      <w:r>
        <w:rPr>
          <w:caps w:val="false"/>
          <w:smallCaps w:val="false"/>
        </w:rPr>
        <w:t> </w:t>
      </w:r>
      <w:bookmarkStart w:id="273" w:name="xdx_8BD_zJHSfWVpbm8l"/>
      <w:bookmarkEnd w:id="273"/>
      <w:r>
        <w:rPr>
          <w:rFonts w:ascii="Times New Roman;Times;Serif" w:hAnsi="Times New Roman;Times;Serif"/>
          <w:b w:val="false"/>
          <w:i w:val="false"/>
          <w:caps w:val="false"/>
          <w:smallCaps w:val="false"/>
          <w:sz w:val="20"/>
        </w:rPr>
        <w:t>Schedule of Revenue Recognized Under ASC 606 and ASC 842</w:t>
      </w:r>
    </w:p>
    <w:tbl>
      <w:tblPr>
        <w:tblW w:w="8353" w:type="dxa"/>
        <w:jc w:val="left"/>
        <w:tblInd w:w="0" w:type="dxa"/>
        <w:tblLayout w:type="fixed"/>
        <w:tblCellMar>
          <w:top w:w="0" w:type="dxa"/>
          <w:left w:w="0" w:type="dxa"/>
          <w:bottom w:w="0" w:type="dxa"/>
          <w:right w:w="0" w:type="dxa"/>
        </w:tblCellMar>
      </w:tblPr>
      <w:tblGrid>
        <w:gridCol w:w="2480"/>
        <w:gridCol w:w="60"/>
        <w:gridCol w:w="187"/>
        <w:gridCol w:w="748"/>
        <w:gridCol w:w="60"/>
        <w:gridCol w:w="60"/>
        <w:gridCol w:w="251"/>
        <w:gridCol w:w="683"/>
        <w:gridCol w:w="60"/>
        <w:gridCol w:w="60"/>
        <w:gridCol w:w="140"/>
        <w:gridCol w:w="560"/>
        <w:gridCol w:w="60"/>
        <w:gridCol w:w="60"/>
        <w:gridCol w:w="187"/>
        <w:gridCol w:w="748"/>
        <w:gridCol w:w="60"/>
        <w:gridCol w:w="60"/>
        <w:gridCol w:w="326"/>
        <w:gridCol w:w="608"/>
        <w:gridCol w:w="60"/>
        <w:gridCol w:w="60"/>
        <w:gridCol w:w="140"/>
        <w:gridCol w:w="560"/>
        <w:gridCol w:w="75"/>
      </w:tblGrid>
      <w:tr>
        <w:trPr/>
        <w:tc>
          <w:tcPr>
            <w:tcW w:w="2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74" w:name="xdx_49B_20260501__20260731__us-gaap--Adj"/>
            <w:bookmarkEnd w:id="274"/>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ASC 606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5" w:name="xdx_49B_20260501__20260731__us-gaap--Adj"/>
            <w:bookmarkEnd w:id="275"/>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ASC 842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6" w:name="xdx_498_20260501__20260731_zrsBxOOSFsJl"/>
            <w:bookmarkEnd w:id="276"/>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bookmarkStart w:id="277" w:name="xdx_495_20250501__20250731__us-gaap--Adj"/>
            <w:bookmarkEnd w:id="277"/>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ASC 606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8" w:name="xdx_492_20250501__20250731__us-gaap--Adj"/>
            <w:bookmarkEnd w:id="278"/>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ASC 842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79" w:name="xdx_498_20250501__20250731_zC5z7THU7hZf"/>
            <w:bookmarkEnd w:id="279"/>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09" w:type="dxa"/>
            <w:gridSpan w:val="10"/>
            <w:tcBorders>
              <w:bottom w:val="single" w:sz="8" w:space="0" w:color="000000"/>
            </w:tcBorders>
            <w:tcMar>
              <w:bottom w:w="28" w:type="dxa"/>
            </w:tcMar>
            <w:vAlign w:val="center"/>
          </w:tcPr>
          <w:p>
            <w:pPr>
              <w:pStyle w:val="TableContents"/>
              <w:bidi w:val="0"/>
              <w:jc w:val="center"/>
              <w:rPr>
                <w:b/>
              </w:rPr>
            </w:pPr>
            <w:r>
              <w:rPr>
                <w:b/>
              </w:rPr>
              <w:t>Three months ended</w:t>
            </w:r>
          </w:p>
          <w:p>
            <w:pPr>
              <w:pStyle w:val="TableContents"/>
              <w:bidi w:val="0"/>
              <w:spacing w:before="0" w:after="283"/>
              <w:jc w:val="center"/>
              <w:rPr>
                <w:b/>
              </w:rPr>
            </w:pPr>
            <w:r>
              <w:rPr>
                <w:b/>
              </w:rPr>
              <w:t>July 31, 2026</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2809" w:type="dxa"/>
            <w:gridSpan w:val="10"/>
            <w:tcBorders>
              <w:bottom w:val="single" w:sz="8" w:space="0" w:color="000000"/>
            </w:tcBorders>
            <w:tcMar>
              <w:bottom w:w="28" w:type="dxa"/>
            </w:tcMar>
            <w:vAlign w:val="center"/>
          </w:tcPr>
          <w:p>
            <w:pPr>
              <w:pStyle w:val="TableContents"/>
              <w:bidi w:val="0"/>
              <w:jc w:val="center"/>
              <w:rPr>
                <w:b/>
              </w:rPr>
            </w:pPr>
            <w:r>
              <w:rPr>
                <w:b/>
              </w:rPr>
              <w:t>Three months ended</w:t>
            </w:r>
          </w:p>
          <w:p>
            <w:pPr>
              <w:pStyle w:val="TableContents"/>
              <w:bidi w:val="0"/>
              <w:spacing w:before="0" w:after="283"/>
              <w:jc w:val="center"/>
              <w:rPr>
                <w:b/>
              </w:rPr>
            </w:pPr>
            <w:r>
              <w:rPr>
                <w:b/>
              </w:rPr>
              <w:t>July 31, 2025</w:t>
            </w:r>
          </w:p>
        </w:tc>
        <w:tc>
          <w:tcPr>
            <w:tcW w:w="7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ASC 606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ASC 842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ASC 606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ASC 842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09" w:type="dxa"/>
            <w:gridSpan w:val="10"/>
            <w:tcBorders/>
            <w:vAlign w:val="center"/>
          </w:tcPr>
          <w:p>
            <w:pPr>
              <w:pStyle w:val="TableContents"/>
              <w:bidi w:val="0"/>
              <w:spacing w:before="0" w:after="283"/>
              <w:jc w:val="center"/>
              <w:rPr/>
            </w:pPr>
            <w:r>
              <w:rPr/>
              <w:t>(in thousands)</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2809" w:type="dxa"/>
            <w:gridSpan w:val="10"/>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b/>
              </w:rPr>
            </w:pPr>
            <w:r>
              <w:rPr>
                <w:b/>
              </w:rPr>
              <w:t>Product Line:</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80" w:name="xdx_400_eus-gaap--Revenues_pn3n3_hsrt--P"/>
            <w:bookmarkEnd w:id="280"/>
          </w:p>
        </w:tc>
      </w:tr>
      <w:tr>
        <w:trPr/>
        <w:tc>
          <w:tcPr>
            <w:tcW w:w="2480" w:type="dxa"/>
            <w:tcBorders/>
            <w:shd w:fill="FFFFFF" w:val="clear"/>
            <w:vAlign w:val="center"/>
          </w:tcPr>
          <w:p>
            <w:pPr>
              <w:pStyle w:val="TableContents"/>
              <w:bidi w:val="0"/>
              <w:spacing w:before="0" w:after="283"/>
              <w:jc w:val="left"/>
              <w:rPr/>
            </w:pPr>
            <w:r>
              <w:rPr/>
              <w:t>WAM-V</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w:t>
            </w:r>
          </w:p>
        </w:tc>
        <w:tc>
          <w:tcPr>
            <w:tcW w:w="748" w:type="dxa"/>
            <w:tcBorders/>
            <w:shd w:fill="FFFFFF" w:val="clear"/>
            <w:vAlign w:val="center"/>
          </w:tcPr>
          <w:p>
            <w:pPr>
              <w:pStyle w:val="TableContents"/>
              <w:bidi w:val="0"/>
              <w:spacing w:before="0" w:after="283"/>
              <w:jc w:val="right"/>
              <w:rPr/>
            </w:pPr>
            <w:r>
              <w:rPr/>
              <w:t>321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w:t>
            </w:r>
          </w:p>
        </w:tc>
        <w:tc>
          <w:tcPr>
            <w:tcW w:w="683" w:type="dxa"/>
            <w:tcBorders/>
            <w:shd w:fill="FFFFFF" w:val="clear"/>
            <w:vAlign w:val="center"/>
          </w:tcPr>
          <w:p>
            <w:pPr>
              <w:pStyle w:val="TableContents"/>
              <w:bidi w:val="0"/>
              <w:spacing w:before="0" w:after="283"/>
              <w:jc w:val="right"/>
              <w:rPr/>
            </w:pPr>
            <w:r>
              <w:rPr/>
              <w:t>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389</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w:t>
            </w:r>
          </w:p>
        </w:tc>
        <w:tc>
          <w:tcPr>
            <w:tcW w:w="748" w:type="dxa"/>
            <w:tcBorders/>
            <w:shd w:fill="FFFFFF" w:val="clear"/>
            <w:vAlign w:val="center"/>
          </w:tcPr>
          <w:p>
            <w:pPr>
              <w:pStyle w:val="TableContents"/>
              <w:bidi w:val="0"/>
              <w:spacing w:before="0" w:after="283"/>
              <w:jc w:val="right"/>
              <w:rPr/>
            </w:pPr>
            <w:r>
              <w:rPr/>
              <w:t>1,038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w:t>
            </w:r>
          </w:p>
        </w:tc>
        <w:tc>
          <w:tcPr>
            <w:tcW w:w="608" w:type="dxa"/>
            <w:tcBorders/>
            <w:shd w:fill="FFFFFF" w:val="clear"/>
            <w:vAlign w:val="center"/>
          </w:tcPr>
          <w:p>
            <w:pPr>
              <w:pStyle w:val="TableContents"/>
              <w:bidi w:val="0"/>
              <w:spacing w:before="0" w:after="283"/>
              <w:jc w:val="right"/>
              <w:rPr/>
            </w:pPr>
            <w:r>
              <w:rPr/>
              <w:t>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1,105</w:t>
            </w:r>
          </w:p>
        </w:tc>
        <w:tc>
          <w:tcPr>
            <w:tcW w:w="75" w:type="dxa"/>
            <w:tcBorders/>
            <w:shd w:fill="FFFFFF" w:val="clear"/>
            <w:vAlign w:val="center"/>
          </w:tcPr>
          <w:p>
            <w:pPr>
              <w:pStyle w:val="TableContents"/>
              <w:bidi w:val="0"/>
              <w:spacing w:before="0" w:after="283"/>
              <w:jc w:val="left"/>
              <w:rPr/>
            </w:pPr>
            <w:r>
              <w:rPr/>
              <w:t> </w:t>
            </w:r>
            <w:bookmarkStart w:id="281" w:name="xdx_402_eus-gaap--Revenues_pn3n3_hsrt--P"/>
            <w:bookmarkEnd w:id="281"/>
          </w:p>
        </w:tc>
      </w:tr>
      <w:tr>
        <w:trPr/>
        <w:tc>
          <w:tcPr>
            <w:tcW w:w="2480" w:type="dxa"/>
            <w:tcBorders/>
            <w:shd w:fill="CCEEFF" w:val="clear"/>
            <w:vAlign w:val="center"/>
          </w:tcPr>
          <w:p>
            <w:pPr>
              <w:pStyle w:val="TableContents"/>
              <w:bidi w:val="0"/>
              <w:spacing w:before="0" w:after="283"/>
              <w:jc w:val="left"/>
              <w:rPr/>
            </w:pPr>
            <w:r>
              <w:rPr/>
              <w:t>Buoy</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589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616</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66</w:t>
            </w:r>
          </w:p>
        </w:tc>
        <w:tc>
          <w:tcPr>
            <w:tcW w:w="75" w:type="dxa"/>
            <w:tcBorders/>
            <w:shd w:fill="CCEEFF" w:val="clear"/>
            <w:vAlign w:val="center"/>
          </w:tcPr>
          <w:p>
            <w:pPr>
              <w:pStyle w:val="TableContents"/>
              <w:bidi w:val="0"/>
              <w:spacing w:before="0" w:after="283"/>
              <w:jc w:val="left"/>
              <w:rPr/>
            </w:pPr>
            <w:r>
              <w:rPr/>
              <w:t> </w:t>
            </w:r>
            <w:bookmarkStart w:id="282" w:name="xdx_402_eus-gaap--Revenues_pn3n3_hsrt--P"/>
            <w:bookmarkEnd w:id="282"/>
          </w:p>
        </w:tc>
      </w:tr>
      <w:tr>
        <w:trPr/>
        <w:tc>
          <w:tcPr>
            <w:tcW w:w="2480" w:type="dxa"/>
            <w:tcBorders/>
            <w:shd w:fill="FFFFFF" w:val="clear"/>
            <w:vAlign w:val="center"/>
          </w:tcPr>
          <w:p>
            <w:pPr>
              <w:pStyle w:val="TableContents"/>
              <w:bidi w:val="0"/>
              <w:spacing w:before="0" w:after="283"/>
              <w:jc w:val="left"/>
              <w:rPr/>
            </w:pPr>
            <w:r>
              <w:rPr/>
              <w:t>Services</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8" w:type="dxa"/>
            <w:tcBorders>
              <w:bottom w:val="single" w:sz="8" w:space="0" w:color="000000"/>
            </w:tcBorders>
            <w:shd w:fill="FFFFFF" w:val="clear"/>
            <w:tcMar>
              <w:bottom w:w="28" w:type="dxa"/>
            </w:tcMar>
            <w:vAlign w:val="center"/>
          </w:tcPr>
          <w:p>
            <w:pPr>
              <w:pStyle w:val="TableContents"/>
              <w:bidi w:val="0"/>
              <w:spacing w:before="0" w:after="283"/>
              <w:jc w:val="right"/>
              <w:rPr/>
            </w:pPr>
            <w:r>
              <w:rPr/>
              <w:t>698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698</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8" w:type="dxa"/>
            <w:tcBorders>
              <w:bottom w:val="single" w:sz="8" w:space="0" w:color="000000"/>
            </w:tcBorders>
            <w:shd w:fill="FFFFFF" w:val="clear"/>
            <w:tcMar>
              <w:bottom w:w="28" w:type="dxa"/>
            </w:tcMar>
            <w:vAlign w:val="center"/>
          </w:tcPr>
          <w:p>
            <w:pPr>
              <w:pStyle w:val="TableContents"/>
              <w:bidi w:val="0"/>
              <w:spacing w:before="0" w:after="283"/>
              <w:jc w:val="right"/>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11</w:t>
            </w:r>
          </w:p>
        </w:tc>
        <w:tc>
          <w:tcPr>
            <w:tcW w:w="75" w:type="dxa"/>
            <w:tcBorders/>
            <w:shd w:fill="FFFFFF" w:val="clear"/>
            <w:vAlign w:val="center"/>
          </w:tcPr>
          <w:p>
            <w:pPr>
              <w:pStyle w:val="TableContents"/>
              <w:bidi w:val="0"/>
              <w:spacing w:before="0" w:after="283"/>
              <w:jc w:val="left"/>
              <w:rPr/>
            </w:pPr>
            <w:r>
              <w:rPr/>
              <w:t> </w:t>
            </w:r>
            <w:bookmarkStart w:id="283" w:name="xdx_400_eus-gaap--Revenues_pn3n3_hsrt--P"/>
            <w:bookmarkEnd w:id="283"/>
          </w:p>
        </w:tc>
      </w:tr>
      <w:tr>
        <w:trPr/>
        <w:tc>
          <w:tcPr>
            <w:tcW w:w="248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1,046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657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1,703</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1,115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w:t>
            </w:r>
          </w:p>
        </w:tc>
        <w:tc>
          <w:tcPr>
            <w:tcW w:w="608" w:type="dxa"/>
            <w:tcBorders/>
            <w:shd w:fill="CCEEFF" w:val="clear"/>
            <w:vAlign w:val="center"/>
          </w:tcPr>
          <w:p>
            <w:pPr>
              <w:pStyle w:val="TableContents"/>
              <w:bidi w:val="0"/>
              <w:spacing w:before="0" w:after="283"/>
              <w:jc w:val="right"/>
              <w:rPr/>
            </w:pPr>
            <w:r>
              <w:rPr/>
              <w:t>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1,182</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b/>
              </w:rPr>
            </w:pPr>
            <w:r>
              <w:rPr>
                <w:b/>
              </w:rPr>
              <w:t>Region:</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284" w:name="xdx_401_eus-gaap--Revenues_pn3n3_hsrt--S"/>
            <w:bookmarkEnd w:id="284"/>
          </w:p>
        </w:tc>
      </w:tr>
      <w:tr>
        <w:trPr/>
        <w:tc>
          <w:tcPr>
            <w:tcW w:w="2480" w:type="dxa"/>
            <w:tcBorders/>
            <w:shd w:fill="FFFFFF" w:val="clear"/>
            <w:vAlign w:val="center"/>
          </w:tcPr>
          <w:p>
            <w:pPr>
              <w:pStyle w:val="TableContents"/>
              <w:bidi w:val="0"/>
              <w:spacing w:before="0" w:after="283"/>
              <w:jc w:val="left"/>
              <w:rPr/>
            </w:pPr>
            <w:r>
              <w:rPr/>
              <w:t>North and South America</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w:t>
            </w:r>
          </w:p>
        </w:tc>
        <w:tc>
          <w:tcPr>
            <w:tcW w:w="748" w:type="dxa"/>
            <w:tcBorders/>
            <w:shd w:fill="FFFFFF" w:val="clear"/>
            <w:vAlign w:val="center"/>
          </w:tcPr>
          <w:p>
            <w:pPr>
              <w:pStyle w:val="TableContents"/>
              <w:bidi w:val="0"/>
              <w:spacing w:before="0" w:after="283"/>
              <w:jc w:val="right"/>
              <w:rPr/>
            </w:pPr>
            <w:r>
              <w:rPr/>
              <w:t>768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w:t>
            </w:r>
          </w:p>
        </w:tc>
        <w:tc>
          <w:tcPr>
            <w:tcW w:w="683" w:type="dxa"/>
            <w:tcBorders/>
            <w:shd w:fill="FFFFFF" w:val="clear"/>
            <w:vAlign w:val="center"/>
          </w:tcPr>
          <w:p>
            <w:pPr>
              <w:pStyle w:val="TableContents"/>
              <w:bidi w:val="0"/>
              <w:spacing w:before="0" w:after="283"/>
              <w:jc w:val="right"/>
              <w:rPr/>
            </w:pPr>
            <w:r>
              <w:rPr/>
              <w:t>589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1,357</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w:t>
            </w:r>
          </w:p>
        </w:tc>
        <w:tc>
          <w:tcPr>
            <w:tcW w:w="748" w:type="dxa"/>
            <w:tcBorders/>
            <w:shd w:fill="FFFFFF" w:val="clear"/>
            <w:vAlign w:val="center"/>
          </w:tcPr>
          <w:p>
            <w:pPr>
              <w:pStyle w:val="TableContents"/>
              <w:bidi w:val="0"/>
              <w:spacing w:before="0" w:after="283"/>
              <w:jc w:val="right"/>
              <w:rPr/>
            </w:pPr>
            <w:r>
              <w:rPr/>
              <w:t>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w:t>
            </w:r>
          </w:p>
        </w:tc>
        <w:tc>
          <w:tcPr>
            <w:tcW w:w="60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60" w:type="dxa"/>
            <w:tcBorders/>
            <w:shd w:fill="FFFFFF" w:val="clear"/>
            <w:vAlign w:val="center"/>
          </w:tcPr>
          <w:p>
            <w:pPr>
              <w:pStyle w:val="TableContents"/>
              <w:bidi w:val="0"/>
              <w:spacing w:before="0" w:after="283"/>
              <w:jc w:val="right"/>
              <w:rPr/>
            </w:pPr>
            <w:r>
              <w:rPr/>
              <w:t>134</w:t>
            </w:r>
          </w:p>
        </w:tc>
        <w:tc>
          <w:tcPr>
            <w:tcW w:w="75" w:type="dxa"/>
            <w:tcBorders/>
            <w:shd w:fill="FFFFFF" w:val="clear"/>
            <w:vAlign w:val="center"/>
          </w:tcPr>
          <w:p>
            <w:pPr>
              <w:pStyle w:val="TableContents"/>
              <w:bidi w:val="0"/>
              <w:spacing w:before="0" w:after="283"/>
              <w:jc w:val="left"/>
              <w:rPr/>
            </w:pPr>
            <w:r>
              <w:rPr/>
              <w:t> </w:t>
            </w:r>
            <w:bookmarkStart w:id="285" w:name="xdx_405_eus-gaap--Revenues_pn3n3_hsrt--S"/>
            <w:bookmarkEnd w:id="285"/>
          </w:p>
        </w:tc>
      </w:tr>
      <w:tr>
        <w:trPr/>
        <w:tc>
          <w:tcPr>
            <w:tcW w:w="2480" w:type="dxa"/>
            <w:tcBorders/>
            <w:shd w:fill="CCEEFF" w:val="clear"/>
            <w:vAlign w:val="center"/>
          </w:tcPr>
          <w:p>
            <w:pPr>
              <w:pStyle w:val="TableContents"/>
              <w:bidi w:val="0"/>
              <w:spacing w:before="0" w:after="283"/>
              <w:jc w:val="left"/>
              <w:rPr/>
            </w:pPr>
            <w:r>
              <w:rPr/>
              <w:t>EMEA</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683" w:type="dxa"/>
            <w:tcBorders/>
            <w:shd w:fill="CCEEFF" w:val="clear"/>
            <w:vAlign w:val="center"/>
          </w:tcPr>
          <w:p>
            <w:pPr>
              <w:pStyle w:val="TableContents"/>
              <w:bidi w:val="0"/>
              <w:spacing w:before="0" w:after="283"/>
              <w:jc w:val="right"/>
              <w:rPr/>
            </w:pPr>
            <w:r>
              <w:rPr/>
              <w:t>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89</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right"/>
              <w:rPr/>
            </w:pPr>
            <w:r>
              <w:rPr/>
              <w:t>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1,047</w:t>
            </w:r>
          </w:p>
        </w:tc>
        <w:tc>
          <w:tcPr>
            <w:tcW w:w="75" w:type="dxa"/>
            <w:tcBorders/>
            <w:shd w:fill="CCEEFF" w:val="clear"/>
            <w:vAlign w:val="center"/>
          </w:tcPr>
          <w:p>
            <w:pPr>
              <w:pStyle w:val="TableContents"/>
              <w:bidi w:val="0"/>
              <w:spacing w:before="0" w:after="283"/>
              <w:jc w:val="left"/>
              <w:rPr/>
            </w:pPr>
            <w:r>
              <w:rPr/>
              <w:t> </w:t>
            </w:r>
            <w:bookmarkStart w:id="286" w:name="xdx_408_eus-gaap--Revenues_pn3n3_hsrt--S"/>
            <w:bookmarkEnd w:id="286"/>
          </w:p>
        </w:tc>
      </w:tr>
      <w:tr>
        <w:trPr/>
        <w:tc>
          <w:tcPr>
            <w:tcW w:w="2480" w:type="dxa"/>
            <w:tcBorders/>
            <w:shd w:fill="FFFFFF" w:val="clear"/>
            <w:vAlign w:val="center"/>
          </w:tcPr>
          <w:p>
            <w:pPr>
              <w:pStyle w:val="TableContents"/>
              <w:bidi w:val="0"/>
              <w:spacing w:before="0" w:after="283"/>
              <w:jc w:val="left"/>
              <w:rPr/>
            </w:pPr>
            <w:r>
              <w:rPr/>
              <w:t>Asia and Australia</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8" w:type="dxa"/>
            <w:tcBorders>
              <w:bottom w:val="single" w:sz="8" w:space="0" w:color="000000"/>
            </w:tcBorders>
            <w:shd w:fill="FFFFFF" w:val="clear"/>
            <w:tcMar>
              <w:bottom w:w="28" w:type="dxa"/>
            </w:tcMar>
            <w:vAlign w:val="center"/>
          </w:tcPr>
          <w:p>
            <w:pPr>
              <w:pStyle w:val="TableContents"/>
              <w:bidi w:val="0"/>
              <w:spacing w:before="0" w:after="283"/>
              <w:jc w:val="right"/>
              <w:rPr/>
            </w:pPr>
            <w:r>
              <w:rPr/>
              <w:t>257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257</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8"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75" w:type="dxa"/>
            <w:tcBorders/>
            <w:shd w:fill="FFFFFF" w:val="clear"/>
            <w:vAlign w:val="center"/>
          </w:tcPr>
          <w:p>
            <w:pPr>
              <w:pStyle w:val="TableContents"/>
              <w:bidi w:val="0"/>
              <w:spacing w:before="0" w:after="283"/>
              <w:jc w:val="left"/>
              <w:rPr/>
            </w:pPr>
            <w:r>
              <w:rPr/>
              <w:t> </w:t>
            </w:r>
            <w:bookmarkStart w:id="287" w:name="xdx_401_eus-gaap--Revenues_pn3n3_hsrt--S"/>
            <w:bookmarkEnd w:id="287"/>
          </w:p>
        </w:tc>
      </w:tr>
      <w:tr>
        <w:trPr/>
        <w:tc>
          <w:tcPr>
            <w:tcW w:w="248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1,046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657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1,703</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1,115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w:t>
            </w:r>
          </w:p>
        </w:tc>
        <w:tc>
          <w:tcPr>
            <w:tcW w:w="608" w:type="dxa"/>
            <w:tcBorders/>
            <w:shd w:fill="CCEEFF" w:val="clear"/>
            <w:vAlign w:val="center"/>
          </w:tcPr>
          <w:p>
            <w:pPr>
              <w:pStyle w:val="TableContents"/>
              <w:bidi w:val="0"/>
              <w:spacing w:before="0" w:after="283"/>
              <w:jc w:val="right"/>
              <w:rPr/>
            </w:pPr>
            <w:r>
              <w:rPr/>
              <w:t>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1,182</w:t>
            </w:r>
          </w:p>
        </w:tc>
        <w:tc>
          <w:tcPr>
            <w:tcW w:w="75" w:type="dxa"/>
            <w:tcBorders/>
            <w:shd w:fill="CCEEFF" w:val="clear"/>
            <w:vAlign w:val="center"/>
          </w:tcPr>
          <w:p>
            <w:pPr>
              <w:pStyle w:val="TableContents"/>
              <w:bidi w:val="0"/>
              <w:spacing w:before="0" w:after="283"/>
              <w:jc w:val="left"/>
              <w:rPr/>
            </w:pPr>
            <w:r>
              <w:rPr/>
              <w:t> </w:t>
            </w:r>
            <w:bookmarkStart w:id="288" w:name="xdx_403_eus-gaap--Revenues_pn3n3_hsrt--S"/>
            <w:bookmarkEnd w:id="288"/>
          </w:p>
        </w:tc>
      </w:tr>
      <w:tr>
        <w:trPr/>
        <w:tc>
          <w:tcPr>
            <w:tcW w:w="248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1,046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683" w:type="dxa"/>
            <w:tcBorders/>
            <w:shd w:fill="CCEEFF" w:val="clear"/>
            <w:vAlign w:val="center"/>
          </w:tcPr>
          <w:p>
            <w:pPr>
              <w:pStyle w:val="TableContents"/>
              <w:bidi w:val="0"/>
              <w:spacing w:before="0" w:after="283"/>
              <w:jc w:val="right"/>
              <w:rPr/>
            </w:pPr>
            <w:r>
              <w:rPr/>
              <w:t>657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1,703</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1,115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jc w:val="left"/>
              <w:rPr/>
            </w:pPr>
            <w:r>
              <w:rPr/>
              <w:t>$</w:t>
            </w:r>
          </w:p>
        </w:tc>
        <w:tc>
          <w:tcPr>
            <w:tcW w:w="608" w:type="dxa"/>
            <w:tcBorders/>
            <w:shd w:fill="CCEEFF" w:val="clear"/>
            <w:vAlign w:val="center"/>
          </w:tcPr>
          <w:p>
            <w:pPr>
              <w:pStyle w:val="TableContents"/>
              <w:bidi w:val="0"/>
              <w:spacing w:before="0" w:after="283"/>
              <w:jc w:val="right"/>
              <w:rPr/>
            </w:pPr>
            <w:r>
              <w:rPr/>
              <w:t>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1,182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89" w:name="xdx_8A0_zhf6Fq23Zova"/>
      <w:bookmarkEnd w:id="28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by geographic region is presented based on the location of the customer’s corporate headquarters (or principal place of business), which management uses to determine the geographic region for financial reporting purposes. Accordingly, the geographic classification of revenue may differ from the ultimate destination of the products delivered or the location where services are performed or equipment is deployed.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90" w:name="xdx_84B_eus-gaap--EarningsPerSharePolicy"/>
      <w:bookmarkEnd w:id="290"/>
      <w:r>
        <w:rPr>
          <w:rFonts w:ascii="Times New Roman;Times;Serif" w:hAnsi="Times New Roman;Times;Serif"/>
          <w:b/>
          <w:i/>
          <w:caps w:val="false"/>
          <w:smallCaps w:val="false"/>
          <w:sz w:val="20"/>
        </w:rPr>
        <w:t xml:space="preserve">(k) </w:t>
      </w:r>
      <w:bookmarkStart w:id="291" w:name="xdx_868_zs6dLlmE9NEc"/>
      <w:bookmarkEnd w:id="291"/>
      <w:r>
        <w:rPr>
          <w:rFonts w:ascii="Times New Roman;Times;Serif" w:hAnsi="Times New Roman;Times;Serif"/>
          <w:b/>
          <w:i/>
          <w:caps w:val="false"/>
          <w:smallCaps w:val="false"/>
          <w:sz w:val="20"/>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common share for all periods presented is computed by dividing net loss by the weighted average number of shares of common stock and common stock equivalents outstanding during the period. Due to the Company’s net losses, potentially dilutive securities, consisting of options and warrants to purchase shares of common stock, unvested RSUs issued to employees and non-employee directors, and convertible notes were excluded from the diluted loss per share calculation due to their anti-dilutive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computing diluted net loss per common share on the Consolidated Statement of Operations, options and warrants to purchase shares of common stock, unvested RSUs issued to employees and non-employee directors, and notes convertible into common stock totaling </w:t>
      </w:r>
      <w:bookmarkStart w:id="292" w:name="xdx_908_eus-gaap--AntidilutiveSecurities"/>
      <w:bookmarkEnd w:id="292"/>
      <w:r>
        <w:rPr>
          <w:rFonts w:ascii="Times New Roman;Times;Serif" w:hAnsi="Times New Roman;Times;Serif"/>
          <w:b w:val="false"/>
          <w:i w:val="false"/>
          <w:caps w:val="false"/>
          <w:smallCaps w:val="false"/>
          <w:sz w:val="20"/>
        </w:rPr>
        <w:t xml:space="preserve">2,378,061 and </w:t>
      </w:r>
      <w:bookmarkStart w:id="293" w:name="xdx_909_eus-gaap--AntidilutiveSecurities"/>
      <w:bookmarkEnd w:id="293"/>
      <w:r>
        <w:rPr>
          <w:rFonts w:ascii="Times New Roman;Times;Serif" w:hAnsi="Times New Roman;Times;Serif"/>
          <w:b w:val="false"/>
          <w:i w:val="false"/>
          <w:caps w:val="false"/>
          <w:smallCaps w:val="false"/>
          <w:sz w:val="20"/>
        </w:rPr>
        <w:t>742,838 for the three months ended July 31, 2026 and 2025, respectively, were excluded from each of the computations as the effect would have been anti-dilutive due to the net loss for the periods. Share purchase rights, which include a contingency, are not included in the calculation until the contingency is resolved.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94" w:name="xdx_84B_eus-gaap--GoodwillAndIntangibleA"/>
      <w:bookmarkEnd w:id="294"/>
      <w:r>
        <w:rPr>
          <w:rFonts w:ascii="Times New Roman;Times;Serif" w:hAnsi="Times New Roman;Times;Serif"/>
          <w:b/>
          <w:i/>
          <w:caps w:val="false"/>
          <w:smallCaps w:val="false"/>
          <w:sz w:val="20"/>
        </w:rPr>
        <w:t xml:space="preserve">(l) </w:t>
      </w:r>
      <w:bookmarkStart w:id="295" w:name="xdx_86F_zVfjHnuCBaob"/>
      <w:bookmarkEnd w:id="295"/>
      <w:r>
        <w:rPr>
          <w:rFonts w:ascii="Times New Roman;Times;Serif" w:hAnsi="Times New Roman;Times;Serif"/>
          <w:b/>
          <w:i/>
          <w:caps w:val="false"/>
          <w:smallCaps w:val="false"/>
          <w:sz w:val="20"/>
        </w:rPr>
        <w:t>Intangibles,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Separately identifiable intangible assets acquired in a business combination are recognized apart from goodwill and are initially recognized at their fair value at the acquisition date. Intangible assets, including patents, are amortized over the estimated useful life of the asset on a basis that approximates the pattern of economic benefit. The patents, trade name and customer relationship intangibles are being amortized over </w:t>
      </w:r>
      <w:bookmarkStart w:id="296" w:name="xdx_905_eus-gaap--FiniteLivedIntangibleA"/>
      <w:bookmarkEnd w:id="296"/>
      <w:r>
        <w:rPr>
          <w:rFonts w:ascii="Times New Roman;Times;Serif" w:hAnsi="Times New Roman;Times;Serif"/>
          <w:b w:val="false"/>
          <w:i w:val="false"/>
          <w:caps w:val="false"/>
          <w:smallCaps w:val="false"/>
          <w:sz w:val="20"/>
        </w:rPr>
        <w:t xml:space="preserve">20, </w:t>
      </w:r>
      <w:bookmarkStart w:id="297" w:name="xdx_902_eus-gaap--FiniteLivedIntangibleA"/>
      <w:bookmarkEnd w:id="297"/>
      <w:r>
        <w:rPr>
          <w:rFonts w:ascii="Times New Roman;Times;Serif" w:hAnsi="Times New Roman;Times;Serif"/>
          <w:b w:val="false"/>
          <w:i w:val="false"/>
          <w:caps w:val="false"/>
          <w:smallCaps w:val="false"/>
          <w:sz w:val="20"/>
        </w:rPr>
        <w:t xml:space="preserve">12 and </w:t>
      </w:r>
      <w:bookmarkStart w:id="298" w:name="xdx_90A_eus-gaap--FiniteLivedIntangibleA"/>
      <w:bookmarkEnd w:id="298"/>
      <w:r>
        <w:rPr>
          <w:rFonts w:ascii="Times New Roman;Times;Serif" w:hAnsi="Times New Roman;Times;Serif"/>
          <w:b w:val="false"/>
          <w:i w:val="false"/>
          <w:caps w:val="false"/>
          <w:smallCaps w:val="false"/>
          <w:sz w:val="20"/>
        </w:rPr>
        <w:t>10 years respectively, which is consistent with the estimated pattern of economic benefit of the assets. The trademark is not subject to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reviewed for impairment if indicators of potential impairment exist. There were no indications of potential impairment of intangible assets for either the three months ended July 31, 2026 or 2025.</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99" w:name="xdx_840_eus-gaap--GoodwillAndIntangibleA"/>
      <w:bookmarkEnd w:id="299"/>
      <w:r>
        <w:rPr>
          <w:rFonts w:ascii="Times New Roman;Times;Serif" w:hAnsi="Times New Roman;Times;Serif"/>
          <w:b/>
          <w:i/>
          <w:caps w:val="false"/>
          <w:smallCaps w:val="false"/>
          <w:sz w:val="20"/>
        </w:rPr>
        <w:t xml:space="preserve">(m) </w:t>
      </w:r>
      <w:bookmarkStart w:id="300" w:name="xdx_865_z8IyUwUvd6fl"/>
      <w:bookmarkEnd w:id="300"/>
      <w:r>
        <w:rPr>
          <w:rFonts w:ascii="Times New Roman;Times;Serif" w:hAnsi="Times New Roman;Times;Serif"/>
          <w:b/>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assessed for impairment using a qualitative or quantitative approach. The Company performs an annual impairment test of goodwill and further periodic tests to the extent indicators of impairment develop between annual impairment tests. There were no indications of potential impairment of goodwill identified for the year ended April 30, 2026. There were no indications of potential impairment of goodwill identified for the three months ended July 31, 2026. Where the Company uses a qualitative analysis, it considers factors that include historical financial performance, macroeconomic and industry conditions, and the legal and regulatory environment. If the qualitative assessment indicates that it is more likely than not that an impairment exists, then a quantitative assessment is also performed. The quantitative assessment requires an analysis of several estimates including future cash flows or income consistent with management’s strategic business plans, annual sales growth rates and the selection of assumptions underlying a discount rate (weighted average cost of capital) based on market data available at the time to determine fair value of the Company. If the fair value is less than the carrying amounts, an impairment charge for the difference is recorded. The Company acquired goodwill as part of its purchase of MAR. Management performed its annual qualitative assessment in the last quarter of fiscal year 2026 and 2025 and determined that it is more likely than not that no goodwill impairment existed as of April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1" w:name="xdx_84C_eus-gaap--IncomeTaxPolicyTextBlo"/>
      <w:bookmarkEnd w:id="301"/>
      <w:r>
        <w:rPr>
          <w:rFonts w:ascii="Times New Roman;Times;Serif" w:hAnsi="Times New Roman;Times;Serif"/>
          <w:b/>
          <w:i/>
          <w:caps w:val="false"/>
          <w:smallCaps w:val="false"/>
          <w:sz w:val="20"/>
        </w:rPr>
        <w:t xml:space="preserve">(n) </w:t>
      </w:r>
      <w:bookmarkStart w:id="302" w:name="xdx_864_zCNASEhlOYYj"/>
      <w:bookmarkEnd w:id="302"/>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effect of income tax positions only if those positions are more likely than not of being sustained upon examination. Management must believe there is at least a 50% chance of a tax position being sustained for its maximum realizable value for it to be recognized. Changes in recognition or measurement are reflected in the period in which the change in judgment occurs. The Company records interest related to unrecognized tax benefits in interest expense and penalties in selling, general, and administrative expenses, to the extent incurred. Refer to Note 16 for additional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monetize their attributes, the Company has historically sold the Net Operating Losses (NOLs) generated in New Jersey. The Company has elected to recognize the gain on the sale as a component of tax expense at the time of the sale. Prior to the time of sale, the Company has elected to not factor the expected sales when assessing the realizability of the related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3" w:name="xdx_847_ecustom--AccumulatedOtherCompreh"/>
      <w:bookmarkEnd w:id="303"/>
      <w:r>
        <w:rPr>
          <w:rFonts w:ascii="Times New Roman;Times;Serif" w:hAnsi="Times New Roman;Times;Serif"/>
          <w:b/>
          <w:i/>
          <w:caps w:val="false"/>
          <w:smallCaps w:val="false"/>
          <w:sz w:val="20"/>
        </w:rPr>
        <w:t xml:space="preserve">(o) </w:t>
      </w:r>
      <w:bookmarkStart w:id="304" w:name="xdx_86B_zCNetOMUtWjb"/>
      <w:bookmarkEnd w:id="304"/>
      <w:r>
        <w:rPr>
          <w:rFonts w:ascii="Times New Roman;Times;Serif" w:hAnsi="Times New Roman;Times;Serif"/>
          <w:b/>
          <w:i/>
          <w:caps w:val="false"/>
          <w:smallCaps w:val="false"/>
          <w:sz w:val="20"/>
        </w:rPr>
        <w:t>Accumulated Other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for the Company’s foreign operations is the applicable local currency. The translation from the applicable foreign currencies to U.S. dollars is performed for balance sheet accounts using the exchange rates in effect at the balance sheet date and for revenue and expense accounts using an average exchange rate during the period. The unrealized gains or losses resulting from such translation are included in Accumulated Other Comprehensive (Income) Loss within Shareholders’ Equity. For each of the three months ended July 31, 2026 and 2025, there were no amounts recorded to other comprehensive (income) loss due to no longer having any foreign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5" w:name="xdx_84F_ecustom--WarrantyPolicyTextBlock"/>
      <w:bookmarkEnd w:id="305"/>
      <w:r>
        <w:rPr>
          <w:rFonts w:ascii="Times New Roman;Times;Serif" w:hAnsi="Times New Roman;Times;Serif"/>
          <w:b/>
          <w:i/>
          <w:caps w:val="false"/>
          <w:smallCaps w:val="false"/>
          <w:sz w:val="20"/>
        </w:rPr>
        <w:t xml:space="preserve">(p) </w:t>
      </w:r>
      <w:bookmarkStart w:id="306" w:name="xdx_86C_zBTlcs8hIg3e"/>
      <w:bookmarkEnd w:id="306"/>
      <w:r>
        <w:rPr>
          <w:rFonts w:ascii="Times New Roman;Times;Serif" w:hAnsi="Times New Roman;Times;Serif"/>
          <w:b/>
          <w:i/>
          <w:caps w:val="false"/>
          <w:smallCaps w:val="false"/>
          <w:sz w:val="20"/>
        </w:rPr>
        <w:t>Warranty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include a right of return on its products other than rights related to standard warranty provisions that permit repair or replacement of defective goods. Warranty expense incurred to date has not been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7" w:name="xdx_849_eus-gaap--ResearchAndDevelopment"/>
      <w:bookmarkEnd w:id="307"/>
      <w:r>
        <w:rPr>
          <w:rFonts w:ascii="Times New Roman;Times;Serif" w:hAnsi="Times New Roman;Times;Serif"/>
          <w:b/>
          <w:i/>
          <w:caps w:val="false"/>
          <w:smallCaps w:val="false"/>
          <w:sz w:val="20"/>
        </w:rPr>
        <w:t xml:space="preserve">(q) </w:t>
      </w:r>
      <w:bookmarkStart w:id="308" w:name="xdx_864_znFrBh1ZyJIh"/>
      <w:bookmarkEnd w:id="308"/>
      <w:r>
        <w:rPr>
          <w:rFonts w:ascii="Times New Roman;Times;Serif" w:hAnsi="Times New Roman;Times;Serif"/>
          <w:b/>
          <w:i/>
          <w:caps w:val="false"/>
          <w:smallCaps w:val="false"/>
          <w:sz w:val="20"/>
        </w:rPr>
        <w:t>Product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product development activities by the Company are expensed as incurred. The Company had approximately $</w:t>
      </w:r>
      <w:bookmarkStart w:id="309" w:name="xdx_900_ecustom--ProductDevelopmentExpen"/>
      <w:bookmarkEnd w:id="309"/>
      <w:r>
        <w:rPr>
          <w:rFonts w:ascii="Times New Roman;Times;Serif" w:hAnsi="Times New Roman;Times;Serif"/>
          <w:b w:val="false"/>
          <w:i w:val="false"/>
          <w:caps w:val="false"/>
          <w:smallCaps w:val="false"/>
          <w:sz w:val="20"/>
        </w:rPr>
        <w:t>2.7 million and $</w:t>
      </w:r>
      <w:bookmarkStart w:id="310" w:name="xdx_904_ecustom--ProductDevelopmentExpen"/>
      <w:bookmarkEnd w:id="310"/>
      <w:r>
        <w:rPr>
          <w:rFonts w:ascii="Times New Roman;Times;Serif" w:hAnsi="Times New Roman;Times;Serif"/>
          <w:b w:val="false"/>
          <w:i w:val="false"/>
          <w:caps w:val="false"/>
          <w:smallCaps w:val="false"/>
          <w:sz w:val="20"/>
        </w:rPr>
        <w:t>0.6 million in product development expense for the three months ended July 31, 2026 and 2025, respectively.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11" w:name="xdx_84D_eus-gaap--DerivativesReportingOf"/>
      <w:bookmarkEnd w:id="311"/>
      <w:r>
        <w:rPr>
          <w:rFonts w:ascii="Times New Roman;Times;Serif" w:hAnsi="Times New Roman;Times;Serif"/>
          <w:b/>
          <w:i/>
          <w:caps w:val="false"/>
          <w:smallCaps w:val="false"/>
          <w:sz w:val="20"/>
        </w:rPr>
        <w:t xml:space="preserve">(r) </w:t>
      </w:r>
      <w:bookmarkStart w:id="312" w:name="xdx_86A_zD8ltvZ7WoKl"/>
      <w:bookmarkEnd w:id="312"/>
      <w:r>
        <w:rPr>
          <w:rFonts w:ascii="Times New Roman;Times;Serif" w:hAnsi="Times New Roman;Times;Serif"/>
          <w:b/>
          <w:i/>
          <w:caps w:val="false"/>
          <w:smallCaps w:val="false"/>
          <w:sz w:val="20"/>
        </w:rPr>
        <w:t>Derivative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all its financial instruments to determine if such instruments contain features that qualify as embedded derivatives. Additionally, the Company evaluates all freestanding equity-linked instruments to determine if they meet the definition of a derivative.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statement of operations each period. Freestanding equity-linked instruments that meet the definition of a derivative are also recognized at fair value, with changes in fair value recognized in the statement of operations each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13" w:name="xdx_840_eus-gaap--NewAccountingPronounce"/>
      <w:bookmarkEnd w:id="313"/>
      <w:r>
        <w:rPr>
          <w:rFonts w:ascii="Times New Roman;Times;Serif" w:hAnsi="Times New Roman;Times;Serif"/>
          <w:b/>
          <w:i/>
          <w:caps w:val="false"/>
          <w:smallCaps w:val="false"/>
          <w:sz w:val="20"/>
        </w:rPr>
        <w:t xml:space="preserve">(s) </w:t>
      </w:r>
      <w:bookmarkStart w:id="314" w:name="xdx_865_zUFpngUCIW48"/>
      <w:bookmarkEnd w:id="314"/>
      <w:r>
        <w:rPr>
          <w:rFonts w:ascii="Times New Roman;Times;Serif" w:hAnsi="Times New Roman;Times;Serif"/>
          <w:b/>
          <w:i/>
          <w:caps w:val="false"/>
          <w:smallCaps w:val="false"/>
          <w:sz w:val="20"/>
        </w:rPr>
        <w:t>Recently Issued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periods, the FASB issued certain ASUs that may be relevant to the Company’s operations and financial reporting. We are currently evaluating the potential impact of these ASUs and adopting them when applicable based on their effective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Financial Accounting Standards Board (“FASB”) issued Accounting Standards Update (“ASU”) No. 2023-09, Income Taxes (Topic 740): Improvements to Income Tax Disclosures (“ASU 2023-09”), which improves the transparency of income tax disclosures by requiring companies to (1) disclose consistent categories and greater disaggregation of information in the effective rate reconciliation and (2) provide information on income taxes paid disaggregated by jurisdiction. ASU 2023-09 is effective for fiscal years beginning after December 15, 2024, although early adoption is permitted. The guidance should be applied on a prospective basis with the option to apply the standard retrospectively. The Company adopted ASU 2023-09 on May 1, 2026. The adoption of this standard did not have an impact on the Company’s interim consolidated financial statements.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No. 2024-3, </w:t>
      </w:r>
      <w:r>
        <w:rPr>
          <w:rFonts w:ascii="Times New Roman;Times;Serif" w:hAnsi="Times New Roman;Times;Serif"/>
          <w:b w:val="false"/>
          <w:i/>
          <w:caps w:val="false"/>
          <w:smallCaps w:val="false"/>
          <w:sz w:val="20"/>
        </w:rPr>
        <w:t>Income Statement - Reporting Comprehensive Income - Expense Disaggregation Disclosures (Subtopic 220-40): Disaggregation of Income Statement Expenses</w:t>
      </w:r>
      <w:r>
        <w:rPr>
          <w:rFonts w:ascii="Times New Roman;Times;Serif" w:hAnsi="Times New Roman;Times;Serif"/>
          <w:b w:val="false"/>
          <w:i w:val="false"/>
          <w:caps w:val="false"/>
          <w:smallCaps w:val="false"/>
          <w:sz w:val="20"/>
        </w:rPr>
        <w:t xml:space="preserve"> This ASU improves the disclosures about a public business entity’s expenses and addresses requests from investors for more detailed information about the types of expenses in commonly presented expense captions. The new guidance is effective for fiscal years beginning after December 15, 2026, and interim periods within fiscal years beginning after December 15, 2027. Early adoption is permitted. We are currently evaluating what the potential impact of adopting this ASU 2024-03 could have on our consolidated financial statements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2025, the FASB issued Accounting Standards Update 2025-05, </w:t>
      </w:r>
      <w:r>
        <w:rPr>
          <w:rFonts w:ascii="Times New Roman;Times;Serif" w:hAnsi="Times New Roman;Times;Serif"/>
          <w:b w:val="false"/>
          <w:i/>
          <w:caps w:val="false"/>
          <w:smallCaps w:val="false"/>
          <w:sz w:val="20"/>
        </w:rPr>
        <w:t>Financial Instruments – Credit Losses (Topic 326): Measurement of Credit Losses for Accounts Receivable and Contract Assets (ASU 2025-05)</w:t>
      </w:r>
      <w:r>
        <w:rPr>
          <w:rFonts w:ascii="Times New Roman;Times;Serif" w:hAnsi="Times New Roman;Times;Serif"/>
          <w:b w:val="false"/>
          <w:i w:val="false"/>
          <w:caps w:val="false"/>
          <w:smallCaps w:val="false"/>
          <w:sz w:val="20"/>
        </w:rPr>
        <w:t>. ASU 2025-05 provides a practical expedient that all entities can use when estimating expected credit losses for current accounts receivable and current contract assets arising from transactions accounted for under ASC 606, Revenue from Contracts with Customers. Under this practical expedient, an entity is allowed to assume that the current conditions it has applied in determining credit loss allowances for current accounts receivable and current contract assets remain unchanged for the remaining life of those assets. ASU 2025-05 is effective for fiscal years beginning after December 15, 2025, and interim reporting periods in those years. Entities that elect the practical expedient and, if applicable, make the accounting policy election are required to apply the amendments prospectively. The Company adopted ASU 2025-05 on May 1, 2026 and the adoption of this standard did not have a material impact on the Company’s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2025, the FASB issued ASU 2025-06, </w:t>
      </w:r>
      <w:r>
        <w:rPr>
          <w:rFonts w:ascii="Times New Roman;Times;Serif" w:hAnsi="Times New Roman;Times;Serif"/>
          <w:b w:val="false"/>
          <w:i/>
          <w:caps w:val="false"/>
          <w:smallCaps w:val="false"/>
          <w:sz w:val="20"/>
        </w:rPr>
        <w:t>Intangibles - Goodwill and Other - Internal Use Software (Subtopic 350-40)</w:t>
      </w:r>
      <w:r>
        <w:rPr>
          <w:rFonts w:ascii="Times New Roman;Times;Serif" w:hAnsi="Times New Roman;Times;Serif"/>
          <w:b w:val="false"/>
          <w:i w:val="false"/>
          <w:caps w:val="false"/>
          <w:smallCaps w:val="false"/>
          <w:sz w:val="20"/>
        </w:rPr>
        <w:t>: Targeted Improvements to the Accounting for Internal-Use Software, which clarifies and modernizes certain aspects of the accounting for, and disclosure of, internal-use software costs. The ASU removes all references to software development project stages so that the guidance is neutral to different software development methods and clarifies the threshold entities apply to begin capitalizing costs. The ASU is effective for annual periods beginning after December 15, 2027, and interim periods within those annual periods. Early adoption is permitted. The Company is currently evaluating the impact that the adoption of this standard will have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2025, the FASB issued ASU 2025-11, </w:t>
      </w:r>
      <w:r>
        <w:rPr>
          <w:rFonts w:ascii="Times New Roman;Times;Serif" w:hAnsi="Times New Roman;Times;Serif"/>
          <w:b w:val="false"/>
          <w:i/>
          <w:caps w:val="false"/>
          <w:smallCaps w:val="false"/>
          <w:sz w:val="20"/>
        </w:rPr>
        <w:t>Interim Reporting (Topic 270)</w:t>
      </w:r>
      <w:r>
        <w:rPr>
          <w:rFonts w:ascii="Times New Roman;Times;Serif" w:hAnsi="Times New Roman;Times;Serif"/>
          <w:b w:val="false"/>
          <w:i w:val="false"/>
          <w:caps w:val="false"/>
          <w:smallCaps w:val="false"/>
          <w:sz w:val="20"/>
        </w:rPr>
        <w:t xml:space="preserve"> which is intended to streamline the guidance in ASC 270, Interim Reporting, and clarify when it applies. Under the amendments, an entity is subject to ASC 270 if it provides interim financial statements and notes in accordance with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and early adoption is permitted. The Company is currently evaluating the impact that the adoption of this standard will have on the Company’s consolidated financial statements.</w:t>
      </w:r>
    </w:p>
    <w:p>
      <w:pPr>
        <w:pStyle w:val="TextBody"/>
        <w:bidi w:val="0"/>
        <w:spacing w:before="0" w:after="0"/>
        <w:ind w:left="0" w:right="0" w:hanging="0"/>
        <w:jc w:val="both"/>
        <w:rPr>
          <w:caps w:val="false"/>
          <w:smallCaps w:val="false"/>
        </w:rPr>
      </w:pPr>
      <w:bookmarkStart w:id="315" w:name="xdx_859_zAPy4pFNC9U9"/>
      <w:bookmarkEnd w:id="31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6" w:name="xdx_809_ecustom--AccountReceivableContra"/>
      <w:bookmarkEnd w:id="316"/>
      <w:r>
        <w:rPr>
          <w:rFonts w:ascii="Times New Roman;Times;Serif" w:hAnsi="Times New Roman;Times;Serif"/>
          <w:b/>
          <w:i w:val="false"/>
          <w:caps w:val="false"/>
          <w:smallCaps w:val="false"/>
          <w:sz w:val="20"/>
        </w:rPr>
        <w:t xml:space="preserve">(3) </w:t>
      </w:r>
      <w:bookmarkStart w:id="317" w:name="xdx_826_zygkfnAIqdb"/>
      <w:bookmarkEnd w:id="317"/>
      <w:r>
        <w:rPr>
          <w:rFonts w:ascii="Times New Roman;Times;Serif" w:hAnsi="Times New Roman;Times;Serif"/>
          <w:b/>
          <w:i w:val="false"/>
          <w:caps w:val="false"/>
          <w:smallCaps w:val="false"/>
          <w:sz w:val="20"/>
        </w:rPr>
        <w:t>Accounts Receivable, Contract Assets and 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8" w:name="xdx_899_ecustom--ScheduleOfAccountsRecei"/>
      <w:bookmarkEnd w:id="318"/>
      <w:r>
        <w:rPr>
          <w:rFonts w:ascii="Times New Roman;Times;Serif" w:hAnsi="Times New Roman;Times;Serif"/>
          <w:b w:val="false"/>
          <w:i w:val="false"/>
          <w:caps w:val="false"/>
          <w:smallCaps w:val="false"/>
          <w:sz w:val="20"/>
        </w:rPr>
        <w:t>The following provides further details on the balance sheet accounts of accounts receivable, contract assets and contract liabilities from contracts with customers: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9" w:name="xdx_8B6_zVMyl2Dv21o5"/>
      <w:bookmarkEnd w:id="319"/>
      <w:r>
        <w:rPr>
          <w:rFonts w:ascii="Times New Roman;Times;Serif" w:hAnsi="Times New Roman;Times;Serif"/>
          <w:b w:val="false"/>
          <w:i w:val="false"/>
          <w:caps w:val="false"/>
          <w:smallCaps w:val="false"/>
          <w:sz w:val="20"/>
        </w:rPr>
        <w:t>Schedule of Accounts Receivable, Contract Assets and Contract Liabilities </w:t>
      </w:r>
    </w:p>
    <w:tbl>
      <w:tblPr>
        <w:tblW w:w="6605" w:type="dxa"/>
        <w:jc w:val="left"/>
        <w:tblInd w:w="0" w:type="dxa"/>
        <w:tblLayout w:type="fixed"/>
        <w:tblCellMar>
          <w:top w:w="0" w:type="dxa"/>
          <w:left w:w="0" w:type="dxa"/>
          <w:bottom w:w="0" w:type="dxa"/>
          <w:right w:w="0" w:type="dxa"/>
        </w:tblCellMar>
      </w:tblPr>
      <w:tblGrid>
        <w:gridCol w:w="1955"/>
        <w:gridCol w:w="60"/>
        <w:gridCol w:w="271"/>
        <w:gridCol w:w="1084"/>
        <w:gridCol w:w="60"/>
        <w:gridCol w:w="60"/>
        <w:gridCol w:w="292"/>
        <w:gridCol w:w="1168"/>
        <w:gridCol w:w="60"/>
        <w:gridCol w:w="60"/>
        <w:gridCol w:w="292"/>
        <w:gridCol w:w="1168"/>
        <w:gridCol w:w="75"/>
      </w:tblGrid>
      <w:tr>
        <w:trPr/>
        <w:tc>
          <w:tcPr>
            <w:tcW w:w="19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20" w:name="xdx_497_20260731_zEalZJY76ZIf"/>
            <w:bookmarkEnd w:id="320"/>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July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1" w:name="xdx_491_20260430_zMTb9fy8TTP5"/>
            <w:bookmarkEnd w:id="321"/>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2" w:name="xdx_49F_20250430_zGN8JzikRRUl"/>
            <w:bookmarkEnd w:id="322"/>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2025</w:t>
            </w:r>
          </w:p>
        </w:tc>
        <w:tc>
          <w:tcPr>
            <w:tcW w:w="7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515" w:type="dxa"/>
            <w:gridSpan w:val="10"/>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bookmarkStart w:id="323" w:name="xdx_405_eus-gaap--AccountsReceivableNetC"/>
            <w:bookmarkEnd w:id="323"/>
          </w:p>
        </w:tc>
      </w:tr>
      <w:tr>
        <w:trPr/>
        <w:tc>
          <w:tcPr>
            <w:tcW w:w="195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1084" w:type="dxa"/>
            <w:tcBorders/>
            <w:shd w:fill="CCEEFF" w:val="clear"/>
            <w:vAlign w:val="center"/>
          </w:tcPr>
          <w:p>
            <w:pPr>
              <w:pStyle w:val="TableContents"/>
              <w:bidi w:val="0"/>
              <w:spacing w:before="0" w:after="283"/>
              <w:jc w:val="right"/>
              <w:rPr/>
            </w:pPr>
            <w:r>
              <w:rPr/>
              <w:t>1,249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1,191</w:t>
            </w:r>
          </w:p>
        </w:tc>
        <w:tc>
          <w:tcPr>
            <w:tcW w:w="75" w:type="dxa"/>
            <w:tcBorders/>
            <w:shd w:fill="CCEEFF" w:val="clear"/>
            <w:vAlign w:val="center"/>
          </w:tcPr>
          <w:p>
            <w:pPr>
              <w:pStyle w:val="TableContents"/>
              <w:bidi w:val="0"/>
              <w:spacing w:before="0" w:after="283"/>
              <w:jc w:val="left"/>
              <w:rPr/>
            </w:pPr>
            <w:r>
              <w:rPr/>
              <w:t> </w:t>
            </w:r>
            <w:bookmarkStart w:id="324" w:name="xdx_408_eus-gaap--ContractWithCustomerAs"/>
            <w:bookmarkEnd w:id="324"/>
          </w:p>
        </w:tc>
      </w:tr>
      <w:tr>
        <w:trPr/>
        <w:tc>
          <w:tcPr>
            <w:tcW w:w="1955"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w:t>
            </w:r>
          </w:p>
        </w:tc>
        <w:tc>
          <w:tcPr>
            <w:tcW w:w="1084" w:type="dxa"/>
            <w:tcBorders/>
            <w:shd w:fill="FFFFFF" w:val="clear"/>
            <w:vAlign w:val="center"/>
          </w:tcPr>
          <w:p>
            <w:pPr>
              <w:pStyle w:val="TableContents"/>
              <w:bidi w:val="0"/>
              <w:spacing w:before="0" w:after="283"/>
              <w:jc w:val="right"/>
              <w:rPr/>
            </w:pPr>
            <w:r>
              <w:rPr/>
              <w:t>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p>
        </w:tc>
        <w:tc>
          <w:tcPr>
            <w:tcW w:w="1168" w:type="dxa"/>
            <w:tcBorders/>
            <w:shd w:fill="FFFFFF" w:val="clear"/>
            <w:vAlign w:val="center"/>
          </w:tcPr>
          <w:p>
            <w:pPr>
              <w:pStyle w:val="TableContents"/>
              <w:bidi w:val="0"/>
              <w:spacing w:before="0" w:after="283"/>
              <w:jc w:val="right"/>
              <w:rPr/>
            </w:pPr>
            <w:r>
              <w:rPr/>
              <w:t>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w:t>
            </w:r>
          </w:p>
        </w:tc>
        <w:tc>
          <w:tcPr>
            <w:tcW w:w="1168" w:type="dxa"/>
            <w:tcBorders/>
            <w:shd w:fill="FFFFFF" w:val="clear"/>
            <w:vAlign w:val="center"/>
          </w:tcPr>
          <w:p>
            <w:pPr>
              <w:pStyle w:val="TableContents"/>
              <w:bidi w:val="0"/>
              <w:spacing w:before="0" w:after="283"/>
              <w:jc w:val="right"/>
              <w:rPr/>
            </w:pPr>
            <w:r>
              <w:rPr/>
              <w:t>1,088</w:t>
            </w:r>
          </w:p>
        </w:tc>
        <w:tc>
          <w:tcPr>
            <w:tcW w:w="75" w:type="dxa"/>
            <w:tcBorders/>
            <w:shd w:fill="FFFFFF" w:val="clear"/>
            <w:vAlign w:val="center"/>
          </w:tcPr>
          <w:p>
            <w:pPr>
              <w:pStyle w:val="TableContents"/>
              <w:bidi w:val="0"/>
              <w:spacing w:before="0" w:after="283"/>
              <w:jc w:val="left"/>
              <w:rPr/>
            </w:pPr>
            <w:r>
              <w:rPr/>
              <w:t> </w:t>
            </w:r>
            <w:bookmarkStart w:id="325" w:name="xdx_40D_eus-gaap--ContractWithCustomerLi"/>
            <w:bookmarkEnd w:id="325"/>
          </w:p>
        </w:tc>
      </w:tr>
      <w:tr>
        <w:trPr/>
        <w:tc>
          <w:tcPr>
            <w:tcW w:w="1955"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1084" w:type="dxa"/>
            <w:tcBorders/>
            <w:shd w:fill="CCEEFF" w:val="clear"/>
            <w:vAlign w:val="center"/>
          </w:tcPr>
          <w:p>
            <w:pPr>
              <w:pStyle w:val="TableContents"/>
              <w:bidi w:val="0"/>
              <w:spacing w:before="0" w:after="283"/>
              <w:jc w:val="right"/>
              <w:rPr/>
            </w:pPr>
            <w:r>
              <w:rPr/>
              <w:t>5,091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6,029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326" w:name="xdx_8A3_zRZlJLDnsWMh"/>
      <w:bookmarkEnd w:id="32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include unbilled amounts typically resulting from arrangements whereby the right to payment is conditional on completing additional tasks or services for a performance obligation. The decrease in contract assets from year end is primarily a result of being able to contractually bill on active projects for which revenue was recognized in the prior period but was not yet been billed as of the beginning of the period. No impairments to contract assets were incurred during the three months ended July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7" w:name="xdx_895_ecustom--ContractWithCustomerAss"/>
      <w:bookmarkEnd w:id="327"/>
      <w:r>
        <w:rPr>
          <w:rFonts w:ascii="Times New Roman;Times;Serif" w:hAnsi="Times New Roman;Times;Serif"/>
          <w:b w:val="false"/>
          <w:i w:val="false"/>
          <w:caps w:val="false"/>
          <w:smallCaps w:val="false"/>
          <w:sz w:val="20"/>
        </w:rPr>
        <w:t>Significant changes in the contract assets balances during the period were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28" w:name="xdx_8B3_zAe7A61kEQAd"/>
      <w:bookmarkEnd w:id="328"/>
      <w:r>
        <w:rPr>
          <w:rFonts w:ascii="Times New Roman;Times;Serif" w:hAnsi="Times New Roman;Times;Serif"/>
          <w:b w:val="false"/>
          <w:i w:val="false"/>
          <w:caps w:val="false"/>
          <w:smallCaps w:val="false"/>
          <w:sz w:val="20"/>
        </w:rPr>
        <w:t>Schedule of Significant Changes in Contract Assets </w:t>
      </w:r>
    </w:p>
    <w:tbl>
      <w:tblPr>
        <w:tblW w:w="9278" w:type="dxa"/>
        <w:jc w:val="left"/>
        <w:tblInd w:w="0" w:type="dxa"/>
        <w:tblLayout w:type="fixed"/>
        <w:tblCellMar>
          <w:top w:w="0" w:type="dxa"/>
          <w:left w:w="0" w:type="dxa"/>
          <w:bottom w:w="0" w:type="dxa"/>
          <w:right w:w="0" w:type="dxa"/>
        </w:tblCellMar>
      </w:tblPr>
      <w:tblGrid>
        <w:gridCol w:w="5495"/>
        <w:gridCol w:w="60"/>
        <w:gridCol w:w="405"/>
        <w:gridCol w:w="1324"/>
        <w:gridCol w:w="95"/>
        <w:gridCol w:w="60"/>
        <w:gridCol w:w="405"/>
        <w:gridCol w:w="1324"/>
        <w:gridCol w:w="110"/>
      </w:tblGrid>
      <w:tr>
        <w:trPr/>
        <w:tc>
          <w:tcPr>
            <w:tcW w:w="54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29" w:name="xdx_496_20260501__20260731_zm80DSfqbU81"/>
            <w:bookmarkEnd w:id="329"/>
          </w:p>
        </w:tc>
        <w:tc>
          <w:tcPr>
            <w:tcW w:w="172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0" w:name="xdx_492_20250501__20250731_zpoWSxrXzsdj"/>
            <w:bookmarkEnd w:id="330"/>
          </w:p>
        </w:tc>
        <w:tc>
          <w:tcPr>
            <w:tcW w:w="172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31, 2025</w:t>
            </w:r>
          </w:p>
        </w:tc>
        <w:tc>
          <w:tcPr>
            <w:tcW w:w="110" w:type="dxa"/>
            <w:tcBorders/>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3" w:type="dxa"/>
            <w:gridSpan w:val="6"/>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bookmarkStart w:id="331" w:name="xdx_40B_eus-gaap--ContractWithCustomerAs"/>
            <w:bookmarkEnd w:id="331"/>
          </w:p>
        </w:tc>
      </w:tr>
      <w:tr>
        <w:trPr/>
        <w:tc>
          <w:tcPr>
            <w:tcW w:w="5495" w:type="dxa"/>
            <w:tcBorders/>
            <w:shd w:fill="CCEEFF" w:val="clear"/>
            <w:vAlign w:val="center"/>
          </w:tcPr>
          <w:p>
            <w:pPr>
              <w:pStyle w:val="TableContents"/>
              <w:bidi w:val="0"/>
              <w:spacing w:before="0" w:after="283"/>
              <w:jc w:val="left"/>
              <w:rPr/>
            </w:pPr>
            <w:r>
              <w:rPr/>
              <w:t>Transferred to receivables from contract assets recognized</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w:t>
            </w:r>
          </w:p>
        </w:tc>
        <w:tc>
          <w:tcPr>
            <w:tcW w:w="1324" w:type="dxa"/>
            <w:tcBorders/>
            <w:shd w:fill="CCEEFF" w:val="clear"/>
            <w:vAlign w:val="center"/>
          </w:tcPr>
          <w:p>
            <w:pPr>
              <w:pStyle w:val="TableContents"/>
              <w:bidi w:val="0"/>
              <w:spacing w:before="0" w:after="283"/>
              <w:jc w:val="right"/>
              <w:rPr/>
            </w:pPr>
            <w:r>
              <w:rPr/>
              <w:t>(475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w:t>
            </w:r>
          </w:p>
        </w:tc>
        <w:tc>
          <w:tcPr>
            <w:tcW w:w="1324" w:type="dxa"/>
            <w:tcBorders/>
            <w:shd w:fill="CCEEFF" w:val="clear"/>
            <w:vAlign w:val="center"/>
          </w:tcPr>
          <w:p>
            <w:pPr>
              <w:pStyle w:val="TableContents"/>
              <w:bidi w:val="0"/>
              <w:spacing w:before="0" w:after="283"/>
              <w:jc w:val="right"/>
              <w:rPr/>
            </w:pPr>
            <w:r>
              <w:rPr/>
              <w:t>(644</w:t>
            </w:r>
          </w:p>
        </w:tc>
        <w:tc>
          <w:tcPr>
            <w:tcW w:w="110" w:type="dxa"/>
            <w:tcBorders/>
            <w:shd w:fill="CCEEFF" w:val="clear"/>
            <w:vAlign w:val="center"/>
          </w:tcPr>
          <w:p>
            <w:pPr>
              <w:pStyle w:val="TableContents"/>
              <w:bidi w:val="0"/>
              <w:spacing w:before="0" w:after="283"/>
              <w:jc w:val="left"/>
              <w:rPr/>
            </w:pPr>
            <w:r>
              <w:rPr/>
              <w:t>)</w:t>
            </w:r>
            <w:bookmarkStart w:id="332" w:name="xdx_40E_ecustom--RevenueRecognizedAndNot"/>
            <w:bookmarkEnd w:id="332"/>
          </w:p>
        </w:tc>
      </w:tr>
      <w:tr>
        <w:trPr/>
        <w:tc>
          <w:tcPr>
            <w:tcW w:w="5495" w:type="dxa"/>
            <w:tcBorders/>
            <w:shd w:fill="FFFFFF" w:val="clear"/>
            <w:vAlign w:val="center"/>
          </w:tcPr>
          <w:p>
            <w:pPr>
              <w:pStyle w:val="TableContents"/>
              <w:bidi w:val="0"/>
              <w:spacing w:before="0" w:after="283"/>
              <w:jc w:val="left"/>
              <w:rPr/>
            </w:pPr>
            <w:r>
              <w:rPr/>
              <w:t>Revenue recognized and not billed</w:t>
            </w:r>
          </w:p>
        </w:tc>
        <w:tc>
          <w:tcPr>
            <w:tcW w:w="60" w:type="dxa"/>
            <w:tcBorders/>
            <w:shd w:fill="FFFFFF" w:val="clear"/>
            <w:vAlign w:val="center"/>
          </w:tcPr>
          <w:p>
            <w:pPr>
              <w:pStyle w:val="TableContents"/>
              <w:bidi w:val="0"/>
              <w:spacing w:before="0" w:after="283"/>
              <w:jc w:val="left"/>
              <w:rPr/>
            </w:pPr>
            <w:r>
              <w:rPr/>
              <w:t> </w:t>
            </w:r>
          </w:p>
        </w:tc>
        <w:tc>
          <w:tcPr>
            <w:tcW w:w="4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4" w:type="dxa"/>
            <w:tcBorders>
              <w:bottom w:val="single" w:sz="8" w:space="0" w:color="000000"/>
            </w:tcBorders>
            <w:shd w:fill="FFFFFF" w:val="clear"/>
            <w:tcMar>
              <w:bottom w:w="28" w:type="dxa"/>
            </w:tcMar>
            <w:vAlign w:val="center"/>
          </w:tcPr>
          <w:p>
            <w:pPr>
              <w:pStyle w:val="TableContents"/>
              <w:bidi w:val="0"/>
              <w:spacing w:before="0" w:after="283"/>
              <w:jc w:val="right"/>
              <w:rPr/>
            </w:pPr>
            <w:r>
              <w:rPr/>
              <w:t>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4" w:type="dxa"/>
            <w:tcBorders>
              <w:bottom w:val="single" w:sz="8" w:space="0" w:color="000000"/>
            </w:tcBorders>
            <w:shd w:fill="FFFFFF" w:val="clear"/>
            <w:tcMar>
              <w:bottom w:w="28" w:type="dxa"/>
            </w:tcMar>
            <w:vAlign w:val="center"/>
          </w:tcPr>
          <w:p>
            <w:pPr>
              <w:pStyle w:val="TableContents"/>
              <w:bidi w:val="0"/>
              <w:spacing w:before="0" w:after="283"/>
              <w:jc w:val="right"/>
              <w:rPr/>
            </w:pPr>
            <w:r>
              <w:rPr/>
              <w:t>111</w:t>
            </w:r>
          </w:p>
        </w:tc>
        <w:tc>
          <w:tcPr>
            <w:tcW w:w="110" w:type="dxa"/>
            <w:tcBorders/>
            <w:shd w:fill="FFFFFF" w:val="clear"/>
            <w:vAlign w:val="center"/>
          </w:tcPr>
          <w:p>
            <w:pPr>
              <w:pStyle w:val="TableContents"/>
              <w:bidi w:val="0"/>
              <w:spacing w:before="0" w:after="283"/>
              <w:jc w:val="left"/>
              <w:rPr/>
            </w:pPr>
            <w:r>
              <w:rPr/>
              <w:t> </w:t>
            </w:r>
            <w:bookmarkStart w:id="333" w:name="xdx_409_eus-gaap--IncreaseDecreaseInCont"/>
            <w:bookmarkEnd w:id="333"/>
          </w:p>
        </w:tc>
      </w:tr>
      <w:tr>
        <w:trPr/>
        <w:tc>
          <w:tcPr>
            <w:tcW w:w="5495" w:type="dxa"/>
            <w:tcBorders/>
            <w:shd w:fill="CCEEFF" w:val="clear"/>
            <w:vAlign w:val="center"/>
          </w:tcPr>
          <w:p>
            <w:pPr>
              <w:pStyle w:val="TableContents"/>
              <w:bidi w:val="0"/>
              <w:spacing w:before="0" w:after="283"/>
              <w:jc w:val="left"/>
              <w:rPr/>
            </w:pPr>
            <w:r>
              <w:rPr/>
              <w:t>Net change in contract assets</w:t>
            </w:r>
          </w:p>
        </w:tc>
        <w:tc>
          <w:tcPr>
            <w:tcW w:w="60" w:type="dxa"/>
            <w:tcBorders/>
            <w:shd w:fill="CCEEFF" w:val="clear"/>
            <w:vAlign w:val="center"/>
          </w:tcPr>
          <w:p>
            <w:pPr>
              <w:pStyle w:val="TableContents"/>
              <w:bidi w:val="0"/>
              <w:spacing w:before="0" w:after="283"/>
              <w:jc w:val="left"/>
              <w:rPr/>
            </w:pPr>
            <w:r>
              <w:rPr/>
              <w:t> </w:t>
            </w:r>
          </w:p>
        </w:tc>
        <w:tc>
          <w:tcPr>
            <w:tcW w:w="4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24" w:type="dxa"/>
            <w:tcBorders>
              <w:bottom w:val="double" w:sz="6" w:space="0" w:color="000000"/>
            </w:tcBorders>
            <w:shd w:fill="CCEEFF" w:val="clear"/>
            <w:tcMar>
              <w:bottom w:w="28" w:type="dxa"/>
            </w:tcMar>
            <w:vAlign w:val="center"/>
          </w:tcPr>
          <w:p>
            <w:pPr>
              <w:pStyle w:val="TableContents"/>
              <w:bidi w:val="0"/>
              <w:spacing w:before="0" w:after="283"/>
              <w:jc w:val="right"/>
              <w:rPr/>
            </w:pPr>
            <w:r>
              <w:rPr/>
              <w:t>(321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24" w:type="dxa"/>
            <w:tcBorders>
              <w:bottom w:val="double" w:sz="6" w:space="0" w:color="000000"/>
            </w:tcBorders>
            <w:shd w:fill="CCEEFF" w:val="clear"/>
            <w:tcMar>
              <w:bottom w:w="28" w:type="dxa"/>
            </w:tcMar>
            <w:vAlign w:val="center"/>
          </w:tcPr>
          <w:p>
            <w:pPr>
              <w:pStyle w:val="TableContents"/>
              <w:bidi w:val="0"/>
              <w:spacing w:before="0" w:after="283"/>
              <w:jc w:val="right"/>
              <w:rPr/>
            </w:pPr>
            <w:r>
              <w:rPr/>
              <w:t>(533</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334" w:name="xdx_8A2_zQUC8KuOo2Ih"/>
      <w:bookmarkEnd w:id="334"/>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amounts invoiced to customers in excess of revenue recognized. The increase in contract liabilities from year end is primarily due to collecting payments for jobs we cannot contractually recognize revenue on the current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5" w:name="xdx_892_ecustom--ContractWithCustomerLia"/>
      <w:bookmarkEnd w:id="335"/>
      <w:r>
        <w:rPr>
          <w:rFonts w:ascii="Times New Roman;Times;Serif" w:hAnsi="Times New Roman;Times;Serif"/>
          <w:b w:val="false"/>
          <w:i w:val="false"/>
          <w:caps w:val="false"/>
          <w:smallCaps w:val="false"/>
          <w:sz w:val="20"/>
        </w:rPr>
        <w:t>Significant changes in the contract liabilities balances during the period are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36" w:name="xdx_8B3_zeXf84IoYsc"/>
      <w:bookmarkEnd w:id="336"/>
      <w:r>
        <w:rPr>
          <w:rFonts w:ascii="Times New Roman;Times;Serif" w:hAnsi="Times New Roman;Times;Serif"/>
          <w:b w:val="false"/>
          <w:i w:val="false"/>
          <w:caps w:val="false"/>
          <w:smallCaps w:val="false"/>
          <w:sz w:val="20"/>
        </w:rPr>
        <w:t>Schedule of Significant Changes in Contract Liabilities </w:t>
      </w:r>
    </w:p>
    <w:tbl>
      <w:tblPr>
        <w:tblW w:w="10205" w:type="dxa"/>
        <w:jc w:val="left"/>
        <w:tblInd w:w="0" w:type="dxa"/>
        <w:tblLayout w:type="fixed"/>
        <w:tblCellMar>
          <w:top w:w="0" w:type="dxa"/>
          <w:left w:w="0" w:type="dxa"/>
          <w:bottom w:w="0" w:type="dxa"/>
          <w:right w:w="0" w:type="dxa"/>
        </w:tblCellMar>
      </w:tblPr>
      <w:tblGrid>
        <w:gridCol w:w="6530"/>
        <w:gridCol w:w="60"/>
        <w:gridCol w:w="392"/>
        <w:gridCol w:w="1282"/>
        <w:gridCol w:w="95"/>
        <w:gridCol w:w="60"/>
        <w:gridCol w:w="392"/>
        <w:gridCol w:w="1282"/>
        <w:gridCol w:w="112"/>
      </w:tblGrid>
      <w:tr>
        <w:trPr/>
        <w:tc>
          <w:tcPr>
            <w:tcW w:w="65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37" w:name="xdx_496_20260501__20260731_zNHDR5zsrUs3"/>
            <w:bookmarkEnd w:id="337"/>
          </w:p>
        </w:tc>
        <w:tc>
          <w:tcPr>
            <w:tcW w:w="167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8" w:name="xdx_492_20250501__20250731_zYXKGqR4TH49"/>
            <w:bookmarkEnd w:id="338"/>
          </w:p>
        </w:tc>
        <w:tc>
          <w:tcPr>
            <w:tcW w:w="167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31, 2025</w:t>
            </w:r>
          </w:p>
        </w:tc>
        <w:tc>
          <w:tcPr>
            <w:tcW w:w="112" w:type="dxa"/>
            <w:tcBorders/>
            <w:vAlign w:val="center"/>
          </w:tcPr>
          <w:p>
            <w:pPr>
              <w:pStyle w:val="TableContents"/>
              <w:bidi w:val="0"/>
              <w:spacing w:before="0" w:after="283"/>
              <w:jc w:val="left"/>
              <w:rPr/>
            </w:pPr>
            <w:r>
              <w:rPr/>
              <w:t> </w:t>
            </w:r>
          </w:p>
        </w:tc>
      </w:tr>
      <w:tr>
        <w:trPr/>
        <w:tc>
          <w:tcPr>
            <w:tcW w:w="65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03" w:type="dxa"/>
            <w:gridSpan w:val="6"/>
            <w:tcBorders/>
            <w:vAlign w:val="center"/>
          </w:tcPr>
          <w:p>
            <w:pPr>
              <w:pStyle w:val="TableContents"/>
              <w:bidi w:val="0"/>
              <w:spacing w:before="0" w:after="283"/>
              <w:jc w:val="center"/>
              <w:rPr/>
            </w:pPr>
            <w:r>
              <w:rPr/>
              <w:t>(in thousands)</w:t>
            </w:r>
          </w:p>
        </w:tc>
        <w:tc>
          <w:tcPr>
            <w:tcW w:w="112" w:type="dxa"/>
            <w:tcBorders/>
            <w:vAlign w:val="center"/>
          </w:tcPr>
          <w:p>
            <w:pPr>
              <w:pStyle w:val="TableContents"/>
              <w:bidi w:val="0"/>
              <w:spacing w:before="0" w:after="283"/>
              <w:jc w:val="left"/>
              <w:rPr/>
            </w:pPr>
            <w:r>
              <w:rPr/>
              <w:t> </w:t>
            </w:r>
            <w:bookmarkStart w:id="339" w:name="xdx_40A_ecustom--ContractWithCustomerLia"/>
            <w:bookmarkEnd w:id="339"/>
          </w:p>
        </w:tc>
      </w:tr>
      <w:tr>
        <w:trPr/>
        <w:tc>
          <w:tcPr>
            <w:tcW w:w="6530" w:type="dxa"/>
            <w:tcBorders/>
            <w:shd w:fill="CCEEFF" w:val="clear"/>
            <w:vAlign w:val="center"/>
          </w:tcPr>
          <w:p>
            <w:pPr>
              <w:pStyle w:val="TableContents"/>
              <w:bidi w:val="0"/>
              <w:spacing w:before="0" w:after="283"/>
              <w:jc w:val="left"/>
              <w:rPr/>
            </w:pPr>
            <w:r>
              <w:rPr/>
              <w:t>Revenue recognized</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w:t>
            </w:r>
          </w:p>
        </w:tc>
        <w:tc>
          <w:tcPr>
            <w:tcW w:w="1282" w:type="dxa"/>
            <w:tcBorders/>
            <w:shd w:fill="CCEEFF" w:val="clear"/>
            <w:vAlign w:val="center"/>
          </w:tcPr>
          <w:p>
            <w:pPr>
              <w:pStyle w:val="TableContents"/>
              <w:bidi w:val="0"/>
              <w:spacing w:before="0" w:after="283"/>
              <w:jc w:val="right"/>
              <w:rPr/>
            </w:pPr>
            <w:r>
              <w:rPr/>
              <w:t>(938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left"/>
              <w:rPr/>
            </w:pPr>
            <w:r>
              <w:rPr/>
              <w:t>$</w:t>
            </w:r>
          </w:p>
        </w:tc>
        <w:tc>
          <w:tcPr>
            <w:tcW w:w="1282" w:type="dxa"/>
            <w:tcBorders/>
            <w:shd w:fill="CCEEFF" w:val="clear"/>
            <w:vAlign w:val="center"/>
          </w:tcPr>
          <w:p>
            <w:pPr>
              <w:pStyle w:val="TableContents"/>
              <w:bidi w:val="0"/>
              <w:spacing w:before="0" w:after="283"/>
              <w:jc w:val="right"/>
              <w:rPr/>
            </w:pPr>
            <w:r>
              <w:rPr/>
              <w:t>(115</w:t>
            </w:r>
          </w:p>
        </w:tc>
        <w:tc>
          <w:tcPr>
            <w:tcW w:w="112" w:type="dxa"/>
            <w:tcBorders/>
            <w:shd w:fill="CCEEFF" w:val="clear"/>
            <w:vAlign w:val="center"/>
          </w:tcPr>
          <w:p>
            <w:pPr>
              <w:pStyle w:val="TableContents"/>
              <w:bidi w:val="0"/>
              <w:spacing w:before="0" w:after="283"/>
              <w:jc w:val="left"/>
              <w:rPr/>
            </w:pPr>
            <w:r>
              <w:rPr/>
              <w:t>)</w:t>
            </w:r>
            <w:bookmarkStart w:id="340" w:name="xdx_40E_ecustom--PaymentsCollectedForWhi"/>
            <w:bookmarkEnd w:id="340"/>
          </w:p>
        </w:tc>
      </w:tr>
      <w:tr>
        <w:trPr/>
        <w:tc>
          <w:tcPr>
            <w:tcW w:w="6530" w:type="dxa"/>
            <w:tcBorders/>
            <w:shd w:fill="FFFFFF" w:val="clear"/>
            <w:vAlign w:val="center"/>
          </w:tcPr>
          <w:p>
            <w:pPr>
              <w:pStyle w:val="TableContents"/>
              <w:bidi w:val="0"/>
              <w:spacing w:before="0" w:after="283"/>
              <w:jc w:val="left"/>
              <w:rPr/>
            </w:pPr>
            <w:r>
              <w:rPr/>
              <w:t>Payments billed or collected for which revenue has not been recognized</w:t>
            </w:r>
          </w:p>
        </w:tc>
        <w:tc>
          <w:tcPr>
            <w:tcW w:w="60" w:type="dxa"/>
            <w:tcBorders/>
            <w:shd w:fill="FFFFFF" w:val="clear"/>
            <w:vAlign w:val="center"/>
          </w:tcPr>
          <w:p>
            <w:pPr>
              <w:pStyle w:val="TableContents"/>
              <w:bidi w:val="0"/>
              <w:spacing w:before="0" w:after="283"/>
              <w:jc w:val="left"/>
              <w:rPr/>
            </w:pPr>
            <w:r>
              <w:rPr/>
              <w:t> </w:t>
            </w:r>
          </w:p>
        </w:tc>
        <w:tc>
          <w:tcPr>
            <w:tcW w:w="3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2" w:type="dxa"/>
            <w:tcBorders>
              <w:bottom w:val="single" w:sz="8" w:space="0" w:color="000000"/>
            </w:tcBorders>
            <w:shd w:fill="FFFFFF" w:val="clear"/>
            <w:tcMar>
              <w:bottom w:w="28" w:type="dxa"/>
            </w:tcMar>
            <w:vAlign w:val="center"/>
          </w:tcPr>
          <w:p>
            <w:pPr>
              <w:pStyle w:val="TableContents"/>
              <w:bidi w:val="0"/>
              <w:spacing w:before="0" w:after="283"/>
              <w:jc w:val="right"/>
              <w:rPr/>
            </w:pPr>
            <w:r>
              <w:rPr/>
              <w:t>250</w:t>
            </w:r>
          </w:p>
        </w:tc>
        <w:tc>
          <w:tcPr>
            <w:tcW w:w="112" w:type="dxa"/>
            <w:tcBorders/>
            <w:shd w:fill="FFFFFF" w:val="clear"/>
            <w:vAlign w:val="center"/>
          </w:tcPr>
          <w:p>
            <w:pPr>
              <w:pStyle w:val="TableContents"/>
              <w:bidi w:val="0"/>
              <w:spacing w:before="0" w:after="283"/>
              <w:jc w:val="left"/>
              <w:rPr/>
            </w:pPr>
            <w:r>
              <w:rPr/>
              <w:t> </w:t>
            </w:r>
            <w:bookmarkStart w:id="341" w:name="xdx_404_eus-gaap--IncreaseDecreaseInCont"/>
            <w:bookmarkEnd w:id="341"/>
          </w:p>
        </w:tc>
      </w:tr>
      <w:tr>
        <w:trPr/>
        <w:tc>
          <w:tcPr>
            <w:tcW w:w="6530" w:type="dxa"/>
            <w:tcBorders/>
            <w:shd w:fill="CCEEFF" w:val="clear"/>
            <w:vAlign w:val="center"/>
          </w:tcPr>
          <w:p>
            <w:pPr>
              <w:pStyle w:val="TableContents"/>
              <w:bidi w:val="0"/>
              <w:spacing w:before="0" w:after="283"/>
              <w:jc w:val="left"/>
              <w:rPr/>
            </w:pPr>
            <w:r>
              <w:rPr/>
              <w:t>Net change in contract liabilities</w:t>
            </w:r>
          </w:p>
        </w:tc>
        <w:tc>
          <w:tcPr>
            <w:tcW w:w="60" w:type="dxa"/>
            <w:tcBorders/>
            <w:shd w:fill="CCEEFF" w:val="clear"/>
            <w:vAlign w:val="center"/>
          </w:tcPr>
          <w:p>
            <w:pPr>
              <w:pStyle w:val="TableContents"/>
              <w:bidi w:val="0"/>
              <w:spacing w:before="0" w:after="283"/>
              <w:jc w:val="left"/>
              <w:rPr/>
            </w:pPr>
            <w:r>
              <w:rPr/>
              <w:t> </w:t>
            </w:r>
          </w:p>
        </w:tc>
        <w:tc>
          <w:tcPr>
            <w:tcW w:w="3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2" w:type="dxa"/>
            <w:tcBorders>
              <w:bottom w:val="double" w:sz="6" w:space="0" w:color="000000"/>
            </w:tcBorders>
            <w:shd w:fill="CCEEFF" w:val="clear"/>
            <w:tcMar>
              <w:bottom w:w="28" w:type="dxa"/>
            </w:tcMar>
            <w:vAlign w:val="center"/>
          </w:tcPr>
          <w:p>
            <w:pPr>
              <w:pStyle w:val="TableContents"/>
              <w:bidi w:val="0"/>
              <w:spacing w:before="0" w:after="283"/>
              <w:jc w:val="right"/>
              <w:rPr/>
            </w:pPr>
            <w:r>
              <w:rPr/>
              <w:t>(938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82" w:type="dxa"/>
            <w:tcBorders>
              <w:bottom w:val="double" w:sz="6" w:space="0" w:color="000000"/>
            </w:tcBorders>
            <w:shd w:fill="CCEEFF" w:val="clear"/>
            <w:tcMar>
              <w:bottom w:w="28" w:type="dxa"/>
            </w:tcMar>
            <w:vAlign w:val="center"/>
          </w:tcPr>
          <w:p>
            <w:pPr>
              <w:pStyle w:val="TableContents"/>
              <w:bidi w:val="0"/>
              <w:spacing w:before="0" w:after="283"/>
              <w:jc w:val="right"/>
              <w:rPr/>
            </w:pPr>
            <w:r>
              <w:rPr/>
              <w:t>135</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42" w:name="xdx_8A9_z0unlAKsiYF4"/>
      <w:bookmarkEnd w:id="34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3" w:name="xdx_803_eus-gaap--InventoryDisclosureTex"/>
      <w:bookmarkEnd w:id="343"/>
      <w:r>
        <w:rPr>
          <w:rFonts w:ascii="Times New Roman;Times;Serif" w:hAnsi="Times New Roman;Times;Serif"/>
          <w:b/>
          <w:i w:val="false"/>
          <w:caps w:val="false"/>
          <w:smallCaps w:val="false"/>
          <w:sz w:val="20"/>
        </w:rPr>
        <w:t xml:space="preserve">(4) </w:t>
      </w:r>
      <w:bookmarkStart w:id="344" w:name="xdx_827_zmFpQe8DymN6"/>
      <w:bookmarkEnd w:id="344"/>
      <w:r>
        <w:rPr>
          <w:rFonts w:ascii="Times New Roman;Times;Serif" w:hAnsi="Times New Roman;Times;Serif"/>
          <w:b/>
          <w:i w:val="false"/>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5" w:name="xdx_896_eus-gaap--ScheduleOfInventoryCur"/>
      <w:bookmarkEnd w:id="345"/>
      <w:r>
        <w:rPr>
          <w:rFonts w:ascii="Times New Roman;Times;Serif" w:hAnsi="Times New Roman;Times;Serif"/>
          <w:b w:val="false"/>
          <w:i w:val="false"/>
          <w:caps w:val="false"/>
          <w:smallCaps w:val="false"/>
          <w:sz w:val="20"/>
        </w:rPr>
        <w:t>The Company holds inventory related to the production of its WAM-V® and PowerBuoy® products.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6" w:name="xdx_8B2_zTNuUDjyjmL8"/>
      <w:bookmarkEnd w:id="346"/>
      <w:r>
        <w:rPr>
          <w:rFonts w:ascii="Times New Roman;Times;Serif" w:hAnsi="Times New Roman;Times;Serif"/>
          <w:b w:val="false"/>
          <w:i w:val="false"/>
          <w:caps w:val="false"/>
          <w:smallCaps w:val="false"/>
          <w:sz w:val="20"/>
        </w:rPr>
        <w:t>Schedule of Inventory </w:t>
      </w:r>
    </w:p>
    <w:tbl>
      <w:tblPr>
        <w:tblW w:w="4800" w:type="dxa"/>
        <w:jc w:val="left"/>
        <w:tblInd w:w="0" w:type="dxa"/>
        <w:tblLayout w:type="fixed"/>
        <w:tblCellMar>
          <w:top w:w="0" w:type="dxa"/>
          <w:left w:w="0" w:type="dxa"/>
          <w:bottom w:w="0" w:type="dxa"/>
          <w:right w:w="0" w:type="dxa"/>
        </w:tblCellMar>
      </w:tblPr>
      <w:tblGrid>
        <w:gridCol w:w="1730"/>
        <w:gridCol w:w="60"/>
        <w:gridCol w:w="271"/>
        <w:gridCol w:w="1084"/>
        <w:gridCol w:w="60"/>
        <w:gridCol w:w="60"/>
        <w:gridCol w:w="292"/>
        <w:gridCol w:w="1168"/>
        <w:gridCol w:w="75"/>
      </w:tblGrid>
      <w:tr>
        <w:trPr/>
        <w:tc>
          <w:tcPr>
            <w:tcW w:w="1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47" w:name="xdx_49D_20260731_zY9GWrkBfaul"/>
            <w:bookmarkEnd w:id="347"/>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July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8" w:name="xdx_492_20260430_zNk9AlV3e7ia"/>
            <w:bookmarkEnd w:id="348"/>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2026</w:t>
            </w:r>
          </w:p>
        </w:tc>
        <w:tc>
          <w:tcPr>
            <w:tcW w:w="7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35" w:type="dxa"/>
            <w:gridSpan w:val="6"/>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bookmarkStart w:id="349" w:name="xdx_40A_eus-gaap--InventoryRawMaterials_"/>
            <w:bookmarkEnd w:id="349"/>
          </w:p>
        </w:tc>
      </w:tr>
      <w:tr>
        <w:trPr/>
        <w:tc>
          <w:tcPr>
            <w:tcW w:w="173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1084" w:type="dxa"/>
            <w:tcBorders/>
            <w:shd w:fill="CCEEFF" w:val="clear"/>
            <w:vAlign w:val="center"/>
          </w:tcPr>
          <w:p>
            <w:pPr>
              <w:pStyle w:val="TableContents"/>
              <w:bidi w:val="0"/>
              <w:spacing w:before="0" w:after="283"/>
              <w:jc w:val="right"/>
              <w:rPr/>
            </w:pPr>
            <w:r>
              <w:rPr/>
              <w:t>2,934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2,581</w:t>
            </w:r>
          </w:p>
        </w:tc>
        <w:tc>
          <w:tcPr>
            <w:tcW w:w="75" w:type="dxa"/>
            <w:tcBorders/>
            <w:shd w:fill="CCEEFF" w:val="clear"/>
            <w:vAlign w:val="center"/>
          </w:tcPr>
          <w:p>
            <w:pPr>
              <w:pStyle w:val="TableContents"/>
              <w:bidi w:val="0"/>
              <w:spacing w:before="0" w:after="283"/>
              <w:jc w:val="left"/>
              <w:rPr/>
            </w:pPr>
            <w:r>
              <w:rPr/>
              <w:t> </w:t>
            </w:r>
            <w:bookmarkStart w:id="350" w:name="xdx_404_eus-gaap--InventoryWorkInProcess"/>
            <w:bookmarkEnd w:id="350"/>
          </w:p>
        </w:tc>
      </w:tr>
      <w:tr>
        <w:trPr/>
        <w:tc>
          <w:tcPr>
            <w:tcW w:w="1730" w:type="dxa"/>
            <w:tcBorders/>
            <w:shd w:fill="FFFFFF" w:val="clear"/>
            <w:vAlign w:val="center"/>
          </w:tcPr>
          <w:p>
            <w:pPr>
              <w:pStyle w:val="TableContents"/>
              <w:bidi w:val="0"/>
              <w:spacing w:before="0" w:after="283"/>
              <w:jc w:val="left"/>
              <w:rPr/>
            </w:pPr>
            <w:r>
              <w:rPr/>
              <w:t>Work in Process</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1,618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609</w:t>
            </w:r>
          </w:p>
        </w:tc>
        <w:tc>
          <w:tcPr>
            <w:tcW w:w="75" w:type="dxa"/>
            <w:tcBorders/>
            <w:shd w:fill="FFFFFF" w:val="clear"/>
            <w:vAlign w:val="center"/>
          </w:tcPr>
          <w:p>
            <w:pPr>
              <w:pStyle w:val="TableContents"/>
              <w:bidi w:val="0"/>
              <w:spacing w:before="0" w:after="283"/>
              <w:jc w:val="left"/>
              <w:rPr/>
            </w:pPr>
            <w:r>
              <w:rPr/>
              <w:t> </w:t>
            </w:r>
            <w:bookmarkStart w:id="351" w:name="xdx_406_eus-gaap--InventoryFinishedGoods"/>
            <w:bookmarkEnd w:id="351"/>
          </w:p>
        </w:tc>
      </w:tr>
      <w:tr>
        <w:trPr/>
        <w:tc>
          <w:tcPr>
            <w:tcW w:w="1730" w:type="dxa"/>
            <w:tcBorders/>
            <w:shd w:fill="CCEEFF" w:val="clear"/>
            <w:vAlign w:val="center"/>
          </w:tcPr>
          <w:p>
            <w:pPr>
              <w:pStyle w:val="TableContents"/>
              <w:bidi w:val="0"/>
              <w:spacing w:before="0" w:after="283"/>
              <w:jc w:val="left"/>
              <w:rPr/>
            </w:pPr>
            <w:r>
              <w:rPr/>
              <w:t>Finished Products</w:t>
            </w:r>
          </w:p>
        </w:tc>
        <w:tc>
          <w:tcPr>
            <w:tcW w:w="60" w:type="dxa"/>
            <w:tcBorders/>
            <w:shd w:fill="CCEEFF" w:val="clear"/>
            <w:vAlign w:val="center"/>
          </w:tcPr>
          <w:p>
            <w:pPr>
              <w:pStyle w:val="TableContents"/>
              <w:bidi w:val="0"/>
              <w:spacing w:before="0" w:after="283"/>
              <w:jc w:val="left"/>
              <w:rPr/>
            </w:pPr>
            <w:r>
              <w:rPr/>
              <w:t> </w:t>
            </w:r>
          </w:p>
        </w:tc>
        <w:tc>
          <w:tcPr>
            <w:tcW w:w="2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352" w:name="xdx_402_eus-gaap--InventoryNet_iTI_pn3n3"/>
            <w:bookmarkEnd w:id="352"/>
          </w:p>
        </w:tc>
      </w:tr>
      <w:tr>
        <w:trPr/>
        <w:tc>
          <w:tcPr>
            <w:tcW w:w="173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84" w:type="dxa"/>
            <w:tcBorders>
              <w:bottom w:val="double" w:sz="6" w:space="0" w:color="000000"/>
            </w:tcBorders>
            <w:shd w:fill="FFFFFF" w:val="clear"/>
            <w:tcMar>
              <w:bottom w:w="28" w:type="dxa"/>
            </w:tcMar>
            <w:vAlign w:val="center"/>
          </w:tcPr>
          <w:p>
            <w:pPr>
              <w:pStyle w:val="TableContents"/>
              <w:bidi w:val="0"/>
              <w:spacing w:before="0" w:after="283"/>
              <w:jc w:val="right"/>
              <w:rPr/>
            </w:pPr>
            <w:r>
              <w:rPr/>
              <w:t>4,552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pPr>
            <w:r>
              <w:rPr/>
              <w:t>3,190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53" w:name="xdx_8A0_z8gewid0UYC9"/>
      <w:bookmarkEnd w:id="35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raw materials balance represents the majority of the inventory as the Company orders parts in quantity to fill orders. Work in process is a combination of buoy and boat builds that are for both active projects and for inventory to have ready for potential future projects. The Company typically ships finished products as they are completed.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4" w:name="xdx_801_eus-gaap--OtherCurrentAssetsText"/>
      <w:bookmarkEnd w:id="354"/>
      <w:r>
        <w:rPr>
          <w:rFonts w:ascii="Times New Roman;Times;Serif" w:hAnsi="Times New Roman;Times;Serif"/>
          <w:b/>
          <w:i w:val="false"/>
          <w:caps w:val="false"/>
          <w:smallCaps w:val="false"/>
          <w:sz w:val="20"/>
        </w:rPr>
        <w:t xml:space="preserve">(5) </w:t>
      </w:r>
      <w:bookmarkStart w:id="355" w:name="xdx_821_zGR3Kz4XIQve"/>
      <w:bookmarkEnd w:id="355"/>
      <w:r>
        <w:rPr>
          <w:rFonts w:ascii="Times New Roman;Times;Serif" w:hAnsi="Times New Roman;Times;Serif"/>
          <w:b/>
          <w:i w:val="false"/>
          <w:caps w:val="false"/>
          <w:smallCaps w:val="false"/>
          <w:sz w:val="20"/>
        </w:rPr>
        <w:t>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6" w:name="xdx_89F_eus-gaap--ScheduleOfOtherCurrent"/>
      <w:bookmarkEnd w:id="356"/>
      <w:r>
        <w:rPr>
          <w:rFonts w:ascii="Times New Roman;Times;Serif" w:hAnsi="Times New Roman;Times;Serif"/>
          <w:b w:val="false"/>
          <w:i w:val="false"/>
          <w:caps w:val="false"/>
          <w:smallCaps w:val="false"/>
          <w:sz w:val="20"/>
        </w:rPr>
        <w:t>Other current assets consisted of the following at July 31, 2026 and April 30,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7" w:name="xdx_8B6_zAnCoPC0vEna"/>
      <w:bookmarkEnd w:id="357"/>
      <w:r>
        <w:rPr>
          <w:rFonts w:ascii="Times New Roman;Times;Serif" w:hAnsi="Times New Roman;Times;Serif"/>
          <w:b w:val="false"/>
          <w:i w:val="false"/>
          <w:caps w:val="false"/>
          <w:smallCaps w:val="false"/>
          <w:sz w:val="20"/>
        </w:rPr>
        <w:t>Schedule of Other Current Assets </w:t>
      </w:r>
    </w:p>
    <w:tbl>
      <w:tblPr>
        <w:tblW w:w="5730" w:type="dxa"/>
        <w:jc w:val="left"/>
        <w:tblInd w:w="0" w:type="dxa"/>
        <w:tblLayout w:type="fixed"/>
        <w:tblCellMar>
          <w:top w:w="0" w:type="dxa"/>
          <w:left w:w="0" w:type="dxa"/>
          <w:bottom w:w="0" w:type="dxa"/>
          <w:right w:w="0" w:type="dxa"/>
        </w:tblCellMar>
      </w:tblPr>
      <w:tblGrid>
        <w:gridCol w:w="2660"/>
        <w:gridCol w:w="60"/>
        <w:gridCol w:w="271"/>
        <w:gridCol w:w="1084"/>
        <w:gridCol w:w="60"/>
        <w:gridCol w:w="60"/>
        <w:gridCol w:w="292"/>
        <w:gridCol w:w="1168"/>
        <w:gridCol w:w="75"/>
      </w:tblGrid>
      <w:tr>
        <w:trPr/>
        <w:tc>
          <w:tcPr>
            <w:tcW w:w="2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58" w:name="xdx_491_20260731_zvDXykk7Z8q5"/>
            <w:bookmarkEnd w:id="358"/>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July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9" w:name="xdx_490_20260430_z30qoMDBh7s5"/>
            <w:bookmarkEnd w:id="359"/>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2026</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35" w:type="dxa"/>
            <w:gridSpan w:val="6"/>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bookmarkStart w:id="360" w:name="xdx_405_eus-gaap--PrepaidInsurance_iI_pn"/>
            <w:bookmarkEnd w:id="360"/>
          </w:p>
        </w:tc>
      </w:tr>
      <w:tr>
        <w:trPr/>
        <w:tc>
          <w:tcPr>
            <w:tcW w:w="2660" w:type="dxa"/>
            <w:tcBorders/>
            <w:shd w:fill="CCEEFF" w:val="clear"/>
            <w:vAlign w:val="center"/>
          </w:tcPr>
          <w:p>
            <w:pPr>
              <w:pStyle w:val="TableContents"/>
              <w:bidi w:val="0"/>
              <w:spacing w:before="0" w:after="283"/>
              <w:jc w:val="left"/>
              <w:rPr/>
            </w:pPr>
            <w:r>
              <w:rPr/>
              <w:t>Prepaid insurance</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108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282</w:t>
            </w:r>
          </w:p>
        </w:tc>
        <w:tc>
          <w:tcPr>
            <w:tcW w:w="75" w:type="dxa"/>
            <w:tcBorders/>
            <w:shd w:fill="CCEEFF" w:val="clear"/>
            <w:vAlign w:val="center"/>
          </w:tcPr>
          <w:p>
            <w:pPr>
              <w:pStyle w:val="TableContents"/>
              <w:bidi w:val="0"/>
              <w:spacing w:before="0" w:after="283"/>
              <w:jc w:val="left"/>
              <w:rPr/>
            </w:pPr>
            <w:r>
              <w:rPr/>
              <w:t> </w:t>
            </w:r>
            <w:bookmarkStart w:id="361" w:name="xdx_400_ecustom--PrepaidSoftwareAndLicen"/>
            <w:bookmarkEnd w:id="361"/>
          </w:p>
        </w:tc>
      </w:tr>
      <w:tr>
        <w:trPr/>
        <w:tc>
          <w:tcPr>
            <w:tcW w:w="2660" w:type="dxa"/>
            <w:tcBorders/>
            <w:shd w:fill="FFFFFF" w:val="clear"/>
            <w:vAlign w:val="center"/>
          </w:tcPr>
          <w:p>
            <w:pPr>
              <w:pStyle w:val="TableContents"/>
              <w:bidi w:val="0"/>
              <w:spacing w:before="0" w:after="283"/>
              <w:jc w:val="left"/>
              <w:rPr/>
            </w:pPr>
            <w:r>
              <w:rPr/>
              <w:t>Prepaid software &amp; licenses</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133</w:t>
            </w:r>
          </w:p>
        </w:tc>
        <w:tc>
          <w:tcPr>
            <w:tcW w:w="75" w:type="dxa"/>
            <w:tcBorders/>
            <w:shd w:fill="FFFFFF" w:val="clear"/>
            <w:vAlign w:val="center"/>
          </w:tcPr>
          <w:p>
            <w:pPr>
              <w:pStyle w:val="TableContents"/>
              <w:bidi w:val="0"/>
              <w:spacing w:before="0" w:after="283"/>
              <w:jc w:val="left"/>
              <w:rPr/>
            </w:pPr>
            <w:r>
              <w:rPr/>
              <w:t> </w:t>
            </w:r>
            <w:bookmarkStart w:id="362" w:name="xdx_40A_ecustom--PrepaidSalesAndMarketin"/>
            <w:bookmarkEnd w:id="362"/>
          </w:p>
        </w:tc>
      </w:tr>
      <w:tr>
        <w:trPr/>
        <w:tc>
          <w:tcPr>
            <w:tcW w:w="2660" w:type="dxa"/>
            <w:tcBorders/>
            <w:shd w:fill="CCEEFF" w:val="clear"/>
            <w:vAlign w:val="center"/>
          </w:tcPr>
          <w:p>
            <w:pPr>
              <w:pStyle w:val="TableContents"/>
              <w:bidi w:val="0"/>
              <w:spacing w:before="0" w:after="283"/>
              <w:jc w:val="left"/>
              <w:rPr/>
            </w:pPr>
            <w:r>
              <w:rPr/>
              <w:t>Prepaid sales &amp; marketing</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157</w:t>
            </w:r>
          </w:p>
        </w:tc>
        <w:tc>
          <w:tcPr>
            <w:tcW w:w="75" w:type="dxa"/>
            <w:tcBorders/>
            <w:shd w:fill="CCEEFF" w:val="clear"/>
            <w:vAlign w:val="center"/>
          </w:tcPr>
          <w:p>
            <w:pPr>
              <w:pStyle w:val="TableContents"/>
              <w:bidi w:val="0"/>
              <w:spacing w:before="0" w:after="283"/>
              <w:jc w:val="left"/>
              <w:rPr/>
            </w:pPr>
            <w:r>
              <w:rPr/>
              <w:t> </w:t>
            </w:r>
            <w:bookmarkStart w:id="363" w:name="xdx_40D_ecustom--PrepaidProjectCosts_iI_"/>
            <w:bookmarkEnd w:id="363"/>
          </w:p>
        </w:tc>
      </w:tr>
      <w:tr>
        <w:trPr/>
        <w:tc>
          <w:tcPr>
            <w:tcW w:w="2660" w:type="dxa"/>
            <w:tcBorders/>
            <w:shd w:fill="FFFFFF" w:val="clear"/>
            <w:vAlign w:val="center"/>
          </w:tcPr>
          <w:p>
            <w:pPr>
              <w:pStyle w:val="TableContents"/>
              <w:bidi w:val="0"/>
              <w:spacing w:before="0" w:after="283"/>
              <w:jc w:val="left"/>
              <w:rPr/>
            </w:pPr>
            <w:r>
              <w:rPr/>
              <w:t>Prepaid project costs</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163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421</w:t>
            </w:r>
          </w:p>
        </w:tc>
        <w:tc>
          <w:tcPr>
            <w:tcW w:w="75" w:type="dxa"/>
            <w:tcBorders/>
            <w:shd w:fill="FFFFFF" w:val="clear"/>
            <w:vAlign w:val="center"/>
          </w:tcPr>
          <w:p>
            <w:pPr>
              <w:pStyle w:val="TableContents"/>
              <w:bidi w:val="0"/>
              <w:spacing w:before="0" w:after="283"/>
              <w:jc w:val="left"/>
              <w:rPr/>
            </w:pPr>
            <w:r>
              <w:rPr/>
              <w:t> </w:t>
            </w:r>
            <w:bookmarkStart w:id="364" w:name="xdx_40F_ecustom--PrepaidInventoryMateria"/>
            <w:bookmarkEnd w:id="364"/>
          </w:p>
        </w:tc>
      </w:tr>
      <w:tr>
        <w:trPr/>
        <w:tc>
          <w:tcPr>
            <w:tcW w:w="2660" w:type="dxa"/>
            <w:tcBorders/>
            <w:shd w:fill="CCEEFF" w:val="clear"/>
            <w:vAlign w:val="center"/>
          </w:tcPr>
          <w:p>
            <w:pPr>
              <w:pStyle w:val="TableContents"/>
              <w:bidi w:val="0"/>
              <w:spacing w:before="0" w:after="283"/>
              <w:jc w:val="left"/>
              <w:rPr/>
            </w:pPr>
            <w:r>
              <w:rPr/>
              <w:t>Prepaid inventory materials</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985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1,458</w:t>
            </w:r>
          </w:p>
        </w:tc>
        <w:tc>
          <w:tcPr>
            <w:tcW w:w="75" w:type="dxa"/>
            <w:tcBorders/>
            <w:shd w:fill="CCEEFF" w:val="clear"/>
            <w:vAlign w:val="center"/>
          </w:tcPr>
          <w:p>
            <w:pPr>
              <w:pStyle w:val="TableContents"/>
              <w:bidi w:val="0"/>
              <w:spacing w:before="0" w:after="283"/>
              <w:jc w:val="left"/>
              <w:rPr/>
            </w:pPr>
            <w:r>
              <w:rPr/>
              <w:t> </w:t>
            </w:r>
            <w:bookmarkStart w:id="365" w:name="xdx_40B_eus-gaap--NetInvestmentInLease_i"/>
            <w:bookmarkEnd w:id="365"/>
          </w:p>
        </w:tc>
      </w:tr>
      <w:tr>
        <w:trPr/>
        <w:tc>
          <w:tcPr>
            <w:tcW w:w="2660" w:type="dxa"/>
            <w:tcBorders/>
            <w:shd w:fill="FFFFFF" w:val="clear"/>
            <w:vAlign w:val="center"/>
          </w:tcPr>
          <w:p>
            <w:pPr>
              <w:pStyle w:val="TableContents"/>
              <w:bidi w:val="0"/>
              <w:spacing w:before="0" w:after="283"/>
              <w:jc w:val="left"/>
              <w:rPr/>
            </w:pPr>
            <w:r>
              <w:rPr/>
              <w:t>Net investment in lease</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127</w:t>
            </w:r>
          </w:p>
        </w:tc>
        <w:tc>
          <w:tcPr>
            <w:tcW w:w="75" w:type="dxa"/>
            <w:tcBorders/>
            <w:shd w:fill="FFFFFF" w:val="clear"/>
            <w:vAlign w:val="center"/>
          </w:tcPr>
          <w:p>
            <w:pPr>
              <w:pStyle w:val="TableContents"/>
              <w:bidi w:val="0"/>
              <w:spacing w:before="0" w:after="283"/>
              <w:jc w:val="left"/>
              <w:rPr/>
            </w:pPr>
            <w:r>
              <w:rPr/>
              <w:t> </w:t>
            </w:r>
            <w:bookmarkStart w:id="366" w:name="xdx_405_eus-gaap--OtherPrepaidExpenseCur"/>
            <w:bookmarkEnd w:id="366"/>
          </w:p>
        </w:tc>
      </w:tr>
      <w:tr>
        <w:trPr/>
        <w:tc>
          <w:tcPr>
            <w:tcW w:w="2660" w:type="dxa"/>
            <w:tcBorders/>
            <w:shd w:fill="CCEEFF" w:val="clear"/>
            <w:vAlign w:val="center"/>
          </w:tcPr>
          <w:p>
            <w:pPr>
              <w:pStyle w:val="TableContents"/>
              <w:bidi w:val="0"/>
              <w:spacing w:before="0" w:after="283"/>
              <w:jc w:val="left"/>
              <w:rPr/>
            </w:pPr>
            <w:r>
              <w:rPr/>
              <w:t>Prepaid expenses- other</w:t>
            </w:r>
          </w:p>
        </w:tc>
        <w:tc>
          <w:tcPr>
            <w:tcW w:w="60" w:type="dxa"/>
            <w:tcBorders/>
            <w:shd w:fill="CCEEFF" w:val="clear"/>
            <w:vAlign w:val="center"/>
          </w:tcPr>
          <w:p>
            <w:pPr>
              <w:pStyle w:val="TableContents"/>
              <w:bidi w:val="0"/>
              <w:spacing w:before="0" w:after="283"/>
              <w:jc w:val="left"/>
              <w:rPr/>
            </w:pPr>
            <w:r>
              <w:rPr/>
              <w:t> </w:t>
            </w:r>
          </w:p>
        </w:tc>
        <w:tc>
          <w:tcPr>
            <w:tcW w:w="2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4" w:type="dxa"/>
            <w:tcBorders>
              <w:bottom w:val="single" w:sz="8" w:space="0" w:color="000000"/>
            </w:tcBorders>
            <w:shd w:fill="CCEEFF" w:val="clear"/>
            <w:tcMar>
              <w:bottom w:w="28" w:type="dxa"/>
            </w:tcMar>
            <w:vAlign w:val="center"/>
          </w:tcPr>
          <w:p>
            <w:pPr>
              <w:pStyle w:val="TableContents"/>
              <w:bidi w:val="0"/>
              <w:spacing w:before="0" w:after="283"/>
              <w:jc w:val="right"/>
              <w:rPr/>
            </w:pPr>
            <w:r>
              <w:rPr/>
              <w:t>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70</w:t>
            </w:r>
          </w:p>
        </w:tc>
        <w:tc>
          <w:tcPr>
            <w:tcW w:w="75" w:type="dxa"/>
            <w:tcBorders/>
            <w:shd w:fill="CCEEFF" w:val="clear"/>
            <w:vAlign w:val="center"/>
          </w:tcPr>
          <w:p>
            <w:pPr>
              <w:pStyle w:val="TableContents"/>
              <w:bidi w:val="0"/>
              <w:spacing w:before="0" w:after="283"/>
              <w:jc w:val="left"/>
              <w:rPr/>
            </w:pPr>
            <w:r>
              <w:rPr/>
              <w:t> </w:t>
            </w:r>
            <w:bookmarkStart w:id="367" w:name="xdx_408_eus-gaap--OtherAssetsCurrent_iTI"/>
            <w:bookmarkEnd w:id="367"/>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other current assets</w:t>
            </w:r>
          </w:p>
        </w:tc>
        <w:tc>
          <w:tcPr>
            <w:tcW w:w="60"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84" w:type="dxa"/>
            <w:tcBorders>
              <w:bottom w:val="double" w:sz="6" w:space="0" w:color="000000"/>
            </w:tcBorders>
            <w:shd w:fill="FFFFFF" w:val="clear"/>
            <w:tcMar>
              <w:bottom w:w="28" w:type="dxa"/>
            </w:tcMar>
            <w:vAlign w:val="center"/>
          </w:tcPr>
          <w:p>
            <w:pPr>
              <w:pStyle w:val="TableContents"/>
              <w:bidi w:val="0"/>
              <w:spacing w:before="0" w:after="283"/>
              <w:jc w:val="right"/>
              <w:rPr/>
            </w:pPr>
            <w:r>
              <w:rPr/>
              <w:t>1,852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pPr>
            <w:r>
              <w:rPr/>
              <w:t>2,648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68" w:name="xdx_8A4_zoDLRkFs6Cl5"/>
      <w:bookmarkEnd w:id="36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prepaid project costs when the Company has incurred costs for customer contracts but for which the Company has not yet achieved and delivered related milestones or complete performance obligations under that contract. Prepaid project costs are classified within other current assets based on when management estimates the revenue will be recognized. As of July 31, 2026, the Company has net prepaid project costs of $</w:t>
      </w:r>
      <w:bookmarkStart w:id="369" w:name="xdx_903_ecustom--PrepaidProjectCostsNet_"/>
      <w:bookmarkEnd w:id="369"/>
      <w:r>
        <w:rPr>
          <w:rFonts w:ascii="Times New Roman;Times;Serif" w:hAnsi="Times New Roman;Times;Serif"/>
          <w:b w:val="false"/>
          <w:i w:val="false"/>
          <w:caps w:val="false"/>
          <w:smallCaps w:val="false"/>
          <w:sz w:val="20"/>
        </w:rPr>
        <w:t>0.2 million. The amount recorded will be recognized as cost of goods sold if and when the Company achieves and delivers the performance obligations under the terms of the applicable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0" w:name="xdx_802_eus-gaap--PropertyPlantAndEquipm"/>
      <w:bookmarkEnd w:id="370"/>
      <w:r>
        <w:rPr>
          <w:rFonts w:ascii="Times New Roman;Times;Serif" w:hAnsi="Times New Roman;Times;Serif"/>
          <w:b/>
          <w:i w:val="false"/>
          <w:caps w:val="false"/>
          <w:smallCaps w:val="false"/>
          <w:sz w:val="20"/>
        </w:rPr>
        <w:t xml:space="preserve">(6) </w:t>
      </w:r>
      <w:bookmarkStart w:id="371" w:name="xdx_820_zJWrBAj6TpS8"/>
      <w:bookmarkEnd w:id="371"/>
      <w:r>
        <w:rPr>
          <w:rFonts w:ascii="Times New Roman;Times;Serif" w:hAnsi="Times New Roman;Times;Serif"/>
          <w:b/>
          <w:i w:val="false"/>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2" w:name="xdx_89A_eus-gaap--PropertyPlantAndEquipm"/>
      <w:bookmarkEnd w:id="372"/>
      <w:r>
        <w:rPr>
          <w:rFonts w:ascii="Times New Roman;Times;Serif" w:hAnsi="Times New Roman;Times;Serif"/>
          <w:b w:val="false"/>
          <w:i w:val="false"/>
          <w:caps w:val="false"/>
          <w:smallCaps w:val="false"/>
          <w:sz w:val="20"/>
        </w:rPr>
        <w:t>The components of property and equipment, net as of July 31, 2026 and April 30, 2026 consisted of the following:</w:t>
      </w:r>
    </w:p>
    <w:p>
      <w:pPr>
        <w:pStyle w:val="TextBody"/>
        <w:bidi w:val="0"/>
        <w:spacing w:before="0" w:after="0"/>
        <w:ind w:left="0" w:right="0" w:hanging="0"/>
        <w:jc w:val="both"/>
        <w:rPr>
          <w:caps w:val="false"/>
          <w:smallCaps w:val="false"/>
        </w:rPr>
      </w:pPr>
      <w:r>
        <w:rPr>
          <w:caps w:val="false"/>
          <w:smallCaps w:val="false"/>
        </w:rPr>
        <w:t> </w:t>
      </w:r>
      <w:bookmarkStart w:id="373" w:name="xdx_8BE_ztmEbvcT8n68"/>
      <w:bookmarkEnd w:id="373"/>
      <w:r>
        <w:rPr>
          <w:rFonts w:ascii="Times New Roman;Times;Serif" w:hAnsi="Times New Roman;Times;Serif"/>
          <w:b w:val="false"/>
          <w:i w:val="false"/>
          <w:caps w:val="false"/>
          <w:smallCaps w:val="false"/>
          <w:sz w:val="20"/>
        </w:rPr>
        <w:t>Schedule of Components of Property and Equipment, Net</w:t>
      </w:r>
    </w:p>
    <w:tbl>
      <w:tblPr>
        <w:tblW w:w="6278" w:type="dxa"/>
        <w:jc w:val="left"/>
        <w:tblInd w:w="0" w:type="dxa"/>
        <w:tblLayout w:type="fixed"/>
        <w:tblCellMar>
          <w:top w:w="0" w:type="dxa"/>
          <w:left w:w="0" w:type="dxa"/>
          <w:bottom w:w="0" w:type="dxa"/>
          <w:right w:w="0" w:type="dxa"/>
        </w:tblCellMar>
      </w:tblPr>
      <w:tblGrid>
        <w:gridCol w:w="3140"/>
        <w:gridCol w:w="60"/>
        <w:gridCol w:w="231"/>
        <w:gridCol w:w="1123"/>
        <w:gridCol w:w="95"/>
        <w:gridCol w:w="60"/>
        <w:gridCol w:w="249"/>
        <w:gridCol w:w="1210"/>
        <w:gridCol w:w="110"/>
      </w:tblGrid>
      <w:tr>
        <w:trPr/>
        <w:tc>
          <w:tcPr>
            <w:tcW w:w="3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74" w:name="xdx_494_20260731_zELivu0POvog"/>
            <w:bookmarkEnd w:id="374"/>
          </w:p>
        </w:tc>
        <w:tc>
          <w:tcPr>
            <w:tcW w:w="13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July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5" w:name="xdx_495_20260430_zVRNvQMJDr6e"/>
            <w:bookmarkEnd w:id="375"/>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2026</w:t>
            </w:r>
          </w:p>
        </w:tc>
        <w:tc>
          <w:tcPr>
            <w:tcW w:w="11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68" w:type="dxa"/>
            <w:gridSpan w:val="6"/>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bookmarkStart w:id="376" w:name="xdx_40D_eus-gaap--PropertyPlantAndEquipm"/>
            <w:bookmarkEnd w:id="376"/>
          </w:p>
        </w:tc>
      </w:tr>
      <w:tr>
        <w:trPr/>
        <w:tc>
          <w:tcPr>
            <w:tcW w:w="3140" w:type="dxa"/>
            <w:tcBorders/>
            <w:shd w:fill="CCEEFF" w:val="clear"/>
            <w:vAlign w:val="center"/>
          </w:tcPr>
          <w:p>
            <w:pPr>
              <w:pStyle w:val="TableContents"/>
              <w:bidi w:val="0"/>
              <w:spacing w:before="0" w:after="283"/>
              <w:jc w:val="left"/>
              <w:rPr/>
            </w:pPr>
            <w:r>
              <w:rPr/>
              <w:t>Equipment</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4,539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4,465</w:t>
            </w:r>
          </w:p>
        </w:tc>
        <w:tc>
          <w:tcPr>
            <w:tcW w:w="110" w:type="dxa"/>
            <w:tcBorders/>
            <w:shd w:fill="CCEEFF" w:val="clear"/>
            <w:vAlign w:val="center"/>
          </w:tcPr>
          <w:p>
            <w:pPr>
              <w:pStyle w:val="TableContents"/>
              <w:bidi w:val="0"/>
              <w:spacing w:before="0" w:after="283"/>
              <w:jc w:val="left"/>
              <w:rPr/>
            </w:pPr>
            <w:r>
              <w:rPr/>
              <w:t> </w:t>
            </w:r>
            <w:bookmarkStart w:id="377" w:name="xdx_40E_eus-gaap--PropertyPlantAndEquipm"/>
            <w:bookmarkEnd w:id="377"/>
          </w:p>
        </w:tc>
      </w:tr>
      <w:tr>
        <w:trPr/>
        <w:tc>
          <w:tcPr>
            <w:tcW w:w="3140" w:type="dxa"/>
            <w:tcBorders/>
            <w:shd w:fill="FFFFFF" w:val="clear"/>
            <w:vAlign w:val="center"/>
          </w:tcPr>
          <w:p>
            <w:pPr>
              <w:pStyle w:val="TableContents"/>
              <w:bidi w:val="0"/>
              <w:spacing w:before="0" w:after="283"/>
              <w:jc w:val="left"/>
              <w:rPr/>
            </w:pPr>
            <w:r>
              <w:rPr/>
              <w:t>Computer equipment &amp; software</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692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643</w:t>
            </w:r>
          </w:p>
        </w:tc>
        <w:tc>
          <w:tcPr>
            <w:tcW w:w="110" w:type="dxa"/>
            <w:tcBorders/>
            <w:shd w:fill="FFFFFF" w:val="clear"/>
            <w:vAlign w:val="center"/>
          </w:tcPr>
          <w:p>
            <w:pPr>
              <w:pStyle w:val="TableContents"/>
              <w:bidi w:val="0"/>
              <w:spacing w:before="0" w:after="283"/>
              <w:jc w:val="left"/>
              <w:rPr/>
            </w:pPr>
            <w:r>
              <w:rPr/>
              <w:t> </w:t>
            </w:r>
            <w:bookmarkStart w:id="378" w:name="xdx_404_eus-gaap--PropertyPlantAndEquipm"/>
            <w:bookmarkEnd w:id="378"/>
          </w:p>
        </w:tc>
      </w:tr>
      <w:tr>
        <w:trPr/>
        <w:tc>
          <w:tcPr>
            <w:tcW w:w="3140" w:type="dxa"/>
            <w:tcBorders/>
            <w:shd w:fill="CCEEFF" w:val="clear"/>
            <w:vAlign w:val="center"/>
          </w:tcPr>
          <w:p>
            <w:pPr>
              <w:pStyle w:val="TableContents"/>
              <w:bidi w:val="0"/>
              <w:spacing w:before="0" w:after="283"/>
              <w:jc w:val="left"/>
              <w:rPr/>
            </w:pPr>
            <w:r>
              <w:rPr/>
              <w:t>Office furniture &amp; equipment</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427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427</w:t>
            </w:r>
          </w:p>
        </w:tc>
        <w:tc>
          <w:tcPr>
            <w:tcW w:w="110" w:type="dxa"/>
            <w:tcBorders/>
            <w:shd w:fill="CCEEFF" w:val="clear"/>
            <w:vAlign w:val="center"/>
          </w:tcPr>
          <w:p>
            <w:pPr>
              <w:pStyle w:val="TableContents"/>
              <w:bidi w:val="0"/>
              <w:spacing w:before="0" w:after="283"/>
              <w:jc w:val="left"/>
              <w:rPr/>
            </w:pPr>
            <w:r>
              <w:rPr/>
              <w:t> </w:t>
            </w:r>
            <w:bookmarkStart w:id="379" w:name="xdx_400_eus-gaap--PropertyPlantAndEquipm"/>
            <w:bookmarkEnd w:id="379"/>
          </w:p>
        </w:tc>
      </w:tr>
      <w:tr>
        <w:trPr/>
        <w:tc>
          <w:tcPr>
            <w:tcW w:w="3140"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683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683</w:t>
            </w:r>
          </w:p>
        </w:tc>
        <w:tc>
          <w:tcPr>
            <w:tcW w:w="110" w:type="dxa"/>
            <w:tcBorders/>
            <w:shd w:fill="FFFFFF" w:val="clear"/>
            <w:vAlign w:val="center"/>
          </w:tcPr>
          <w:p>
            <w:pPr>
              <w:pStyle w:val="TableContents"/>
              <w:bidi w:val="0"/>
              <w:spacing w:before="0" w:after="283"/>
              <w:jc w:val="left"/>
              <w:rPr/>
            </w:pPr>
            <w:r>
              <w:rPr/>
              <w:t> </w:t>
            </w:r>
            <w:bookmarkStart w:id="380" w:name="xdx_402_eus-gaap--PropertyPlantAndEquipm"/>
            <w:bookmarkEnd w:id="380"/>
          </w:p>
        </w:tc>
      </w:tr>
      <w:tr>
        <w:trPr/>
        <w:tc>
          <w:tcPr>
            <w:tcW w:w="3140" w:type="dxa"/>
            <w:tcBorders/>
            <w:shd w:fill="CCEEFF" w:val="clear"/>
            <w:vAlign w:val="center"/>
          </w:tcPr>
          <w:p>
            <w:pPr>
              <w:pStyle w:val="TableContents"/>
              <w:bidi w:val="0"/>
              <w:spacing w:before="0" w:after="283"/>
              <w:jc w:val="left"/>
              <w:rPr/>
            </w:pPr>
            <w:r>
              <w:rPr/>
              <w:t>Leased WAM-V’s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2,066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1,807</w:t>
            </w:r>
          </w:p>
        </w:tc>
        <w:tc>
          <w:tcPr>
            <w:tcW w:w="110" w:type="dxa"/>
            <w:tcBorders/>
            <w:shd w:fill="CCEEFF" w:val="clear"/>
            <w:vAlign w:val="center"/>
          </w:tcPr>
          <w:p>
            <w:pPr>
              <w:pStyle w:val="TableContents"/>
              <w:bidi w:val="0"/>
              <w:spacing w:before="0" w:after="283"/>
              <w:jc w:val="left"/>
              <w:rPr/>
            </w:pPr>
            <w:r>
              <w:rPr/>
              <w:t> </w:t>
            </w:r>
            <w:bookmarkStart w:id="381" w:name="xdx_40F_eus-gaap--PropertyPlantAndEquipm"/>
            <w:bookmarkEnd w:id="381"/>
          </w:p>
        </w:tc>
      </w:tr>
      <w:tr>
        <w:trPr/>
        <w:tc>
          <w:tcPr>
            <w:tcW w:w="3140" w:type="dxa"/>
            <w:tcBorders/>
            <w:shd w:fill="FFFFFF" w:val="clear"/>
            <w:vAlign w:val="center"/>
          </w:tcPr>
          <w:p>
            <w:pPr>
              <w:pStyle w:val="TableContents"/>
              <w:bidi w:val="0"/>
              <w:spacing w:before="0" w:after="283"/>
              <w:jc w:val="left"/>
              <w:rPr/>
            </w:pPr>
            <w:r>
              <w:rPr/>
              <w:t>Leased Buoys</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pPr>
            <w:r>
              <w:rPr/>
              <w:t>4,991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pPr>
            <w:r>
              <w:rPr/>
              <w:t>5,662</w:t>
            </w:r>
          </w:p>
        </w:tc>
        <w:tc>
          <w:tcPr>
            <w:tcW w:w="110" w:type="dxa"/>
            <w:tcBorders/>
            <w:shd w:fill="FFFFFF" w:val="clear"/>
            <w:vAlign w:val="center"/>
          </w:tcPr>
          <w:p>
            <w:pPr>
              <w:pStyle w:val="TableContents"/>
              <w:bidi w:val="0"/>
              <w:spacing w:before="0" w:after="283"/>
              <w:jc w:val="left"/>
              <w:rPr/>
            </w:pPr>
            <w:r>
              <w:rPr/>
              <w:t> </w:t>
            </w:r>
            <w:bookmarkStart w:id="382" w:name="xdx_407_eus-gaap--PropertyPlantAndEquipm"/>
            <w:bookmarkEnd w:id="382"/>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gross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123" w:type="dxa"/>
            <w:tcBorders/>
            <w:shd w:fill="CCEEFF" w:val="clear"/>
            <w:vAlign w:val="center"/>
          </w:tcPr>
          <w:p>
            <w:pPr>
              <w:pStyle w:val="TableContents"/>
              <w:bidi w:val="0"/>
              <w:spacing w:before="0" w:after="283"/>
              <w:jc w:val="right"/>
              <w:rPr/>
            </w:pPr>
            <w:r>
              <w:rPr/>
              <w:t>13,398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13,687</w:t>
            </w:r>
          </w:p>
        </w:tc>
        <w:tc>
          <w:tcPr>
            <w:tcW w:w="110" w:type="dxa"/>
            <w:tcBorders/>
            <w:shd w:fill="CCEEFF" w:val="clear"/>
            <w:vAlign w:val="center"/>
          </w:tcPr>
          <w:p>
            <w:pPr>
              <w:pStyle w:val="TableContents"/>
              <w:bidi w:val="0"/>
              <w:spacing w:before="0" w:after="283"/>
              <w:jc w:val="left"/>
              <w:rPr/>
            </w:pPr>
            <w:r>
              <w:rPr/>
              <w:t> </w:t>
            </w:r>
            <w:bookmarkStart w:id="383" w:name="xdx_401_eus-gaap--AccumulatedDepreciatio"/>
            <w:bookmarkEnd w:id="383"/>
          </w:p>
        </w:tc>
      </w:tr>
      <w:tr>
        <w:trPr/>
        <w:tc>
          <w:tcPr>
            <w:tcW w:w="3140" w:type="dxa"/>
            <w:tcBorders/>
            <w:shd w:fill="FFFFFF" w:val="clear"/>
            <w:vAlign w:val="center"/>
          </w:tcPr>
          <w:p>
            <w:pPr>
              <w:pStyle w:val="TableContents"/>
              <w:bidi w:val="0"/>
              <w:spacing w:before="0" w:after="283"/>
              <w:jc w:val="left"/>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3" w:type="dxa"/>
            <w:tcBorders>
              <w:bottom w:val="single" w:sz="8" w:space="0" w:color="000000"/>
            </w:tcBorders>
            <w:shd w:fill="FFFFFF" w:val="clear"/>
            <w:tcMar>
              <w:bottom w:w="28" w:type="dxa"/>
            </w:tcMar>
            <w:vAlign w:val="center"/>
          </w:tcPr>
          <w:p>
            <w:pPr>
              <w:pStyle w:val="TableContents"/>
              <w:bidi w:val="0"/>
              <w:spacing w:before="0" w:after="283"/>
              <w:jc w:val="right"/>
              <w:rPr/>
            </w:pPr>
            <w:r>
              <w:rPr/>
              <w:t>(3,600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pPr>
            <w:r>
              <w:rPr/>
              <w:t>(3,432</w:t>
            </w:r>
          </w:p>
        </w:tc>
        <w:tc>
          <w:tcPr>
            <w:tcW w:w="110" w:type="dxa"/>
            <w:tcBorders/>
            <w:shd w:fill="FFFFFF" w:val="clear"/>
            <w:vAlign w:val="center"/>
          </w:tcPr>
          <w:p>
            <w:pPr>
              <w:pStyle w:val="TableContents"/>
              <w:bidi w:val="0"/>
              <w:spacing w:before="0" w:after="283"/>
              <w:jc w:val="left"/>
              <w:rPr/>
            </w:pPr>
            <w:r>
              <w:rPr/>
              <w:t>)</w:t>
            </w:r>
            <w:bookmarkStart w:id="384" w:name="xdx_406_eus-gaap--PropertyPlantAndEquipm"/>
            <w:bookmarkEnd w:id="384"/>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3" w:type="dxa"/>
            <w:tcBorders>
              <w:bottom w:val="double" w:sz="6" w:space="0" w:color="000000"/>
            </w:tcBorders>
            <w:shd w:fill="CCEEFF" w:val="clear"/>
            <w:tcMar>
              <w:bottom w:w="28" w:type="dxa"/>
            </w:tcMar>
            <w:vAlign w:val="center"/>
          </w:tcPr>
          <w:p>
            <w:pPr>
              <w:pStyle w:val="TableContents"/>
              <w:bidi w:val="0"/>
              <w:spacing w:before="0" w:after="283"/>
              <w:jc w:val="right"/>
              <w:rPr/>
            </w:pPr>
            <w:r>
              <w:rPr/>
              <w:t>9,798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0" w:type="dxa"/>
            <w:tcBorders>
              <w:bottom w:val="double" w:sz="6" w:space="0" w:color="000000"/>
            </w:tcBorders>
            <w:shd w:fill="CCEEFF" w:val="clear"/>
            <w:tcMar>
              <w:bottom w:w="28" w:type="dxa"/>
            </w:tcMar>
            <w:vAlign w:val="center"/>
          </w:tcPr>
          <w:p>
            <w:pPr>
              <w:pStyle w:val="TableContents"/>
              <w:bidi w:val="0"/>
              <w:spacing w:before="0" w:after="283"/>
              <w:jc w:val="right"/>
              <w:rPr/>
            </w:pPr>
            <w:r>
              <w:rPr/>
              <w:t>10,255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85" w:name="xdx_8A2_z32twX5bmXyc"/>
      <w:bookmarkEnd w:id="38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Leased WAM-V’s and buoys represent fixed assets that are associated with underlying operating leases with customers as discussed in the revenue recognition section related to ASC 842 or utilized for customer demonstrations. Of gross book amounts, </w:t>
      </w:r>
      <w:bookmarkStart w:id="386" w:name="xdx_909_ecustom--PropertyPlantAndEquipme"/>
      <w:bookmarkEnd w:id="386"/>
      <w:r>
        <w:rPr>
          <w:rFonts w:ascii="Times New Roman;Times;Serif" w:hAnsi="Times New Roman;Times;Serif"/>
          <w:b w:val="false"/>
          <w:i w:val="false"/>
          <w:caps w:val="false"/>
          <w:smallCaps w:val="false"/>
          <w:sz w:val="20"/>
        </w:rPr>
        <w:t>$1.0 million is related to a buoy that has not been placed into operation as of July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approximately $</w:t>
      </w:r>
      <w:bookmarkStart w:id="387" w:name="xdx_90F_eus-gaap--Depreciation_pn5n6_c20"/>
      <w:bookmarkEnd w:id="387"/>
      <w:r>
        <w:rPr>
          <w:rFonts w:ascii="Times New Roman;Times;Serif" w:hAnsi="Times New Roman;Times;Serif"/>
          <w:b w:val="false"/>
          <w:i w:val="false"/>
          <w:caps w:val="false"/>
          <w:smallCaps w:val="false"/>
          <w:sz w:val="20"/>
        </w:rPr>
        <w:t>0.3 million and $</w:t>
      </w:r>
      <w:bookmarkStart w:id="388" w:name="xdx_90B_eus-gaap--Depreciation_pn5n6_c20"/>
      <w:bookmarkEnd w:id="388"/>
      <w:r>
        <w:rPr>
          <w:rFonts w:ascii="Times New Roman;Times;Serif" w:hAnsi="Times New Roman;Times;Serif"/>
          <w:b w:val="false"/>
          <w:i w:val="false"/>
          <w:caps w:val="false"/>
          <w:smallCaps w:val="false"/>
          <w:sz w:val="20"/>
        </w:rPr>
        <w:t>0.2 million for the three months ended July 31,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July 31, 2026, the Company recognized a non-cash abandonment loss of approximately $</w:t>
      </w:r>
      <w:bookmarkStart w:id="389" w:name="xdx_909_eus-gaap--GainLossOnDispositionO"/>
      <w:bookmarkEnd w:id="389"/>
      <w:r>
        <w:rPr>
          <w:rFonts w:ascii="Times New Roman;Times;Serif" w:hAnsi="Times New Roman;Times;Serif"/>
          <w:b w:val="false"/>
          <w:i w:val="false"/>
          <w:caps w:val="false"/>
          <w:smallCaps w:val="false"/>
          <w:sz w:val="20"/>
        </w:rPr>
        <w:t>769,000 associated with a deployed mooring system that sank and could not be recovered. The asset had no estimated salvage value and was fully derecognized from property and equipment. The abandonment loss is included in operating expenses in the condensed consolidated statement of operations. No insurance recovery was recognized as of July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0" w:name="xdx_805_eus-gaap--IntangibleAssetsDisclo"/>
      <w:bookmarkEnd w:id="390"/>
      <w:r>
        <w:rPr>
          <w:rFonts w:ascii="Times New Roman;Times;Serif" w:hAnsi="Times New Roman;Times;Serif"/>
          <w:b/>
          <w:i w:val="false"/>
          <w:caps w:val="false"/>
          <w:smallCaps w:val="false"/>
          <w:sz w:val="20"/>
        </w:rPr>
        <w:t xml:space="preserve">(7) </w:t>
      </w:r>
      <w:bookmarkStart w:id="391" w:name="xdx_824_zi3zW7gQLhN1"/>
      <w:bookmarkEnd w:id="391"/>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92" w:name="xdx_89D_eus-gaap--ScheduleOfFiniteLivedI"/>
      <w:bookmarkEnd w:id="392"/>
      <w:r>
        <w:rPr>
          <w:rFonts w:ascii="Times New Roman;Times;Serif" w:hAnsi="Times New Roman;Times;Serif"/>
          <w:b w:val="false"/>
          <w:i w:val="false"/>
          <w:caps w:val="false"/>
          <w:smallCaps w:val="false"/>
          <w:sz w:val="20"/>
        </w:rPr>
        <w:t>The components of intangible assets, net as of July 31, 2026 and April 30, 2026 consisted of the following:</w:t>
      </w:r>
    </w:p>
    <w:p>
      <w:pPr>
        <w:pStyle w:val="TextBody"/>
        <w:bidi w:val="0"/>
        <w:spacing w:before="0" w:after="0"/>
        <w:ind w:left="0" w:right="0" w:hanging="0"/>
        <w:jc w:val="both"/>
        <w:rPr>
          <w:caps w:val="false"/>
          <w:smallCaps w:val="false"/>
        </w:rPr>
      </w:pPr>
      <w:r>
        <w:rPr>
          <w:caps w:val="false"/>
          <w:smallCaps w:val="false"/>
        </w:rPr>
        <w:t> </w:t>
      </w:r>
      <w:bookmarkStart w:id="393" w:name="xdx_8B5_zzx1TPPgle8j"/>
      <w:bookmarkEnd w:id="393"/>
      <w:r>
        <w:rPr>
          <w:rFonts w:ascii="Times New Roman;Times;Serif" w:hAnsi="Times New Roman;Times;Serif"/>
          <w:b w:val="false"/>
          <w:i w:val="false"/>
          <w:caps w:val="false"/>
          <w:smallCaps w:val="false"/>
          <w:sz w:val="20"/>
        </w:rPr>
        <w:t>Schedule of Components of Intangible Assets</w:t>
      </w:r>
    </w:p>
    <w:tbl>
      <w:tblPr>
        <w:tblW w:w="5663" w:type="dxa"/>
        <w:jc w:val="left"/>
        <w:tblInd w:w="0" w:type="dxa"/>
        <w:tblLayout w:type="fixed"/>
        <w:tblCellMar>
          <w:top w:w="0" w:type="dxa"/>
          <w:left w:w="0" w:type="dxa"/>
          <w:bottom w:w="0" w:type="dxa"/>
          <w:right w:w="0" w:type="dxa"/>
        </w:tblCellMar>
      </w:tblPr>
      <w:tblGrid>
        <w:gridCol w:w="2525"/>
        <w:gridCol w:w="60"/>
        <w:gridCol w:w="244"/>
        <w:gridCol w:w="1110"/>
        <w:gridCol w:w="95"/>
        <w:gridCol w:w="60"/>
        <w:gridCol w:w="263"/>
        <w:gridCol w:w="1196"/>
        <w:gridCol w:w="110"/>
      </w:tblGrid>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94" w:name="xdx_49E_20260731_zuEAjUAcvLu4"/>
            <w:bookmarkEnd w:id="394"/>
          </w:p>
        </w:tc>
        <w:tc>
          <w:tcPr>
            <w:tcW w:w="13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July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95" w:name="xdx_493_20260430_z1PXlnYO6It7"/>
            <w:bookmarkEnd w:id="395"/>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2026</w:t>
            </w:r>
          </w:p>
        </w:tc>
        <w:tc>
          <w:tcPr>
            <w:tcW w:w="11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68" w:type="dxa"/>
            <w:gridSpan w:val="6"/>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bookmarkStart w:id="396" w:name="xdx_401_eus-gaap--FiniteLivedPatentsGros"/>
            <w:bookmarkEnd w:id="396"/>
          </w:p>
        </w:tc>
      </w:tr>
      <w:tr>
        <w:trPr/>
        <w:tc>
          <w:tcPr>
            <w:tcW w:w="2525"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1110" w:type="dxa"/>
            <w:tcBorders/>
            <w:shd w:fill="CCEEFF" w:val="clear"/>
            <w:vAlign w:val="center"/>
          </w:tcPr>
          <w:p>
            <w:pPr>
              <w:pStyle w:val="TableContents"/>
              <w:bidi w:val="0"/>
              <w:spacing w:before="0" w:after="283"/>
              <w:jc w:val="right"/>
              <w:rPr/>
            </w:pPr>
            <w:r>
              <w:rPr/>
              <w:t>2,729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1196" w:type="dxa"/>
            <w:tcBorders/>
            <w:shd w:fill="CCEEFF" w:val="clear"/>
            <w:vAlign w:val="center"/>
          </w:tcPr>
          <w:p>
            <w:pPr>
              <w:pStyle w:val="TableContents"/>
              <w:bidi w:val="0"/>
              <w:spacing w:before="0" w:after="283"/>
              <w:jc w:val="right"/>
              <w:rPr/>
            </w:pPr>
            <w:r>
              <w:rPr/>
              <w:t>2,729</w:t>
            </w:r>
          </w:p>
        </w:tc>
        <w:tc>
          <w:tcPr>
            <w:tcW w:w="110" w:type="dxa"/>
            <w:tcBorders/>
            <w:shd w:fill="CCEEFF" w:val="clear"/>
            <w:vAlign w:val="center"/>
          </w:tcPr>
          <w:p>
            <w:pPr>
              <w:pStyle w:val="TableContents"/>
              <w:bidi w:val="0"/>
              <w:spacing w:before="0" w:after="283"/>
              <w:jc w:val="left"/>
              <w:rPr/>
            </w:pPr>
            <w:r>
              <w:rPr/>
              <w:t> </w:t>
            </w:r>
            <w:bookmarkStart w:id="397" w:name="xdx_40D_eus-gaap--FiniteLivedTrademarksG"/>
            <w:bookmarkEnd w:id="397"/>
          </w:p>
        </w:tc>
      </w:tr>
      <w:tr>
        <w:trPr/>
        <w:tc>
          <w:tcPr>
            <w:tcW w:w="2525" w:type="dxa"/>
            <w:tcBorders/>
            <w:shd w:fill="FFFFFF" w:val="clear"/>
            <w:vAlign w:val="center"/>
          </w:tcPr>
          <w:p>
            <w:pPr>
              <w:pStyle w:val="TableContents"/>
              <w:bidi w:val="0"/>
              <w:spacing w:before="0" w:after="283"/>
              <w:jc w:val="left"/>
              <w:rPr/>
            </w:pPr>
            <w:r>
              <w:rPr/>
              <w:t>Trademarks</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FFFFFF" w:val="clear"/>
            <w:tcMar>
              <w:bottom w:w="28" w:type="dxa"/>
            </w:tcMar>
            <w:vAlign w:val="center"/>
          </w:tcPr>
          <w:p>
            <w:pPr>
              <w:pStyle w:val="TableContents"/>
              <w:bidi w:val="0"/>
              <w:spacing w:before="0" w:after="283"/>
              <w:jc w:val="right"/>
              <w:rPr/>
            </w:pPr>
            <w:r>
              <w:rPr/>
              <w:t>2,769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FFFFFF" w:val="clear"/>
            <w:tcMar>
              <w:bottom w:w="28" w:type="dxa"/>
            </w:tcMar>
            <w:vAlign w:val="center"/>
          </w:tcPr>
          <w:p>
            <w:pPr>
              <w:pStyle w:val="TableContents"/>
              <w:bidi w:val="0"/>
              <w:spacing w:before="0" w:after="283"/>
              <w:jc w:val="right"/>
              <w:rPr/>
            </w:pPr>
            <w:r>
              <w:rPr/>
              <w:t>2,769</w:t>
            </w:r>
          </w:p>
        </w:tc>
        <w:tc>
          <w:tcPr>
            <w:tcW w:w="110" w:type="dxa"/>
            <w:tcBorders/>
            <w:shd w:fill="FFFFFF" w:val="clear"/>
            <w:vAlign w:val="center"/>
          </w:tcPr>
          <w:p>
            <w:pPr>
              <w:pStyle w:val="TableContents"/>
              <w:bidi w:val="0"/>
              <w:spacing w:before="0" w:after="283"/>
              <w:jc w:val="left"/>
              <w:rPr/>
            </w:pPr>
            <w:r>
              <w:rPr/>
              <w:t> </w:t>
            </w:r>
            <w:bookmarkStart w:id="398" w:name="xdx_40E_eus-gaap--FiniteLivedIntangibleA"/>
            <w:bookmarkEnd w:id="398"/>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 gross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5,498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5,498</w:t>
            </w:r>
          </w:p>
        </w:tc>
        <w:tc>
          <w:tcPr>
            <w:tcW w:w="110" w:type="dxa"/>
            <w:tcBorders/>
            <w:shd w:fill="CCEEFF" w:val="clear"/>
            <w:vAlign w:val="center"/>
          </w:tcPr>
          <w:p>
            <w:pPr>
              <w:pStyle w:val="TableContents"/>
              <w:bidi w:val="0"/>
              <w:spacing w:before="0" w:after="283"/>
              <w:jc w:val="left"/>
              <w:rPr/>
            </w:pPr>
            <w:r>
              <w:rPr/>
              <w:t> </w:t>
            </w:r>
            <w:bookmarkStart w:id="399" w:name="xdx_40A_eus-gaap--FiniteLivedIntangibleA"/>
            <w:bookmarkEnd w:id="399"/>
          </w:p>
        </w:tc>
      </w:tr>
      <w:tr>
        <w:trPr/>
        <w:tc>
          <w:tcPr>
            <w:tcW w:w="2525" w:type="dxa"/>
            <w:tcBorders/>
            <w:shd w:fill="FFFFFF" w:val="clear"/>
            <w:vAlign w:val="center"/>
          </w:tcPr>
          <w:p>
            <w:pPr>
              <w:pStyle w:val="TableContents"/>
              <w:bidi w:val="0"/>
              <w:spacing w:before="0" w:after="283"/>
              <w:jc w:val="left"/>
              <w:rPr/>
            </w:pPr>
            <w:r>
              <w:rPr/>
              <w:t>Accumulated amortization</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0" w:type="dxa"/>
            <w:tcBorders>
              <w:bottom w:val="single" w:sz="8" w:space="0" w:color="000000"/>
            </w:tcBorders>
            <w:shd w:fill="FFFFFF" w:val="clear"/>
            <w:tcMar>
              <w:bottom w:w="28" w:type="dxa"/>
            </w:tcMar>
            <w:vAlign w:val="center"/>
          </w:tcPr>
          <w:p>
            <w:pPr>
              <w:pStyle w:val="TableContents"/>
              <w:bidi w:val="0"/>
              <w:spacing w:before="0" w:after="283"/>
              <w:jc w:val="right"/>
              <w:rPr/>
            </w:pPr>
            <w:r>
              <w:rPr/>
              <w:t>(2,174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FFFFFF" w:val="clear"/>
            <w:tcMar>
              <w:bottom w:w="28" w:type="dxa"/>
            </w:tcMar>
            <w:vAlign w:val="center"/>
          </w:tcPr>
          <w:p>
            <w:pPr>
              <w:pStyle w:val="TableContents"/>
              <w:bidi w:val="0"/>
              <w:spacing w:before="0" w:after="283"/>
              <w:jc w:val="right"/>
              <w:rPr/>
            </w:pPr>
            <w:r>
              <w:rPr/>
              <w:t>(2,141</w:t>
            </w:r>
          </w:p>
        </w:tc>
        <w:tc>
          <w:tcPr>
            <w:tcW w:w="110" w:type="dxa"/>
            <w:tcBorders/>
            <w:shd w:fill="FFFFFF" w:val="clear"/>
            <w:vAlign w:val="center"/>
          </w:tcPr>
          <w:p>
            <w:pPr>
              <w:pStyle w:val="TableContents"/>
              <w:bidi w:val="0"/>
              <w:spacing w:before="0" w:after="283"/>
              <w:jc w:val="left"/>
              <w:rPr/>
            </w:pPr>
            <w:r>
              <w:rPr/>
              <w:t>)</w:t>
            </w:r>
            <w:bookmarkStart w:id="400" w:name="xdx_401_eus-gaap--FiniteLivedIntangibleA"/>
            <w:bookmarkEnd w:id="400"/>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0" w:type="dxa"/>
            <w:tcBorders>
              <w:bottom w:val="double" w:sz="6" w:space="0" w:color="000000"/>
            </w:tcBorders>
            <w:shd w:fill="CCEEFF" w:val="clear"/>
            <w:tcMar>
              <w:bottom w:w="28" w:type="dxa"/>
            </w:tcMar>
            <w:vAlign w:val="center"/>
          </w:tcPr>
          <w:p>
            <w:pPr>
              <w:pStyle w:val="TableContents"/>
              <w:bidi w:val="0"/>
              <w:spacing w:before="0" w:after="283"/>
              <w:jc w:val="right"/>
              <w:rPr/>
            </w:pPr>
            <w:r>
              <w:rPr/>
              <w:t>3,324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pPr>
            <w:r>
              <w:rPr/>
              <w:t>3,357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01" w:name="xdx_8AB_z0K05Z6snIm7"/>
      <w:bookmarkEnd w:id="40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was approximately $</w:t>
      </w:r>
      <w:bookmarkStart w:id="402" w:name="xdx_90A_eus-gaap--AmortizationOfIntangib"/>
      <w:bookmarkEnd w:id="402"/>
      <w:r>
        <w:rPr>
          <w:rFonts w:ascii="Times New Roman;Times;Serif" w:hAnsi="Times New Roman;Times;Serif"/>
          <w:b w:val="false"/>
          <w:i w:val="false"/>
          <w:caps w:val="false"/>
          <w:smallCaps w:val="false"/>
          <w:sz w:val="20"/>
        </w:rPr>
        <w:t>33,000 and $</w:t>
      </w:r>
      <w:bookmarkStart w:id="403" w:name="xdx_900_eus-gaap--AmortizationOfIntangib"/>
      <w:bookmarkEnd w:id="403"/>
      <w:r>
        <w:rPr>
          <w:rFonts w:ascii="Times New Roman;Times;Serif" w:hAnsi="Times New Roman;Times;Serif"/>
          <w:b w:val="false"/>
          <w:i w:val="false"/>
          <w:caps w:val="false"/>
          <w:smallCaps w:val="false"/>
          <w:sz w:val="20"/>
        </w:rPr>
        <w:t>34,000 for the three-month periods ended July 31, 2026 and 2025, respectively.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4" w:name="xdx_80E_eus-gaap--GoodwillDisclosureText"/>
      <w:bookmarkEnd w:id="404"/>
      <w:r>
        <w:rPr>
          <w:rFonts w:ascii="Times New Roman;Times;Serif" w:hAnsi="Times New Roman;Times;Serif"/>
          <w:b/>
          <w:i w:val="false"/>
          <w:caps w:val="false"/>
          <w:smallCaps w:val="false"/>
          <w:sz w:val="20"/>
        </w:rPr>
        <w:t xml:space="preserve">(8) </w:t>
      </w:r>
      <w:bookmarkStart w:id="405" w:name="xdx_823_zG1ZTHsc4yU1"/>
      <w:bookmarkEnd w:id="405"/>
      <w:r>
        <w:rPr>
          <w:rFonts w:ascii="Times New Roman;Times;Serif" w:hAnsi="Times New Roman;Times;Serif"/>
          <w:b/>
          <w:i w:val="false"/>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in the amount of $</w:t>
      </w:r>
      <w:bookmarkStart w:id="406" w:name="xdx_908_eus-gaap--Goodwill_iI_pn5n6_c202"/>
      <w:bookmarkEnd w:id="406"/>
      <w:r>
        <w:rPr>
          <w:rFonts w:ascii="Times New Roman;Times;Serif" w:hAnsi="Times New Roman;Times;Serif"/>
          <w:b w:val="false"/>
          <w:i w:val="false"/>
          <w:caps w:val="false"/>
          <w:smallCaps w:val="false"/>
          <w:sz w:val="20"/>
        </w:rPr>
        <w:t>8.5 million was recognized in November 2021 related to the acquisition of MAR. There have been no additions to or impairment of goodwill during the three-month periods ended July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7" w:name="xdx_809_eus-gaap--LesseeOperatingLeasesT"/>
      <w:bookmarkEnd w:id="407"/>
      <w:r>
        <w:rPr>
          <w:rFonts w:ascii="Times New Roman;Times;Serif" w:hAnsi="Times New Roman;Times;Serif"/>
          <w:b/>
          <w:i w:val="false"/>
          <w:caps w:val="false"/>
          <w:smallCaps w:val="false"/>
          <w:sz w:val="20"/>
        </w:rPr>
        <w:t xml:space="preserve">(9) </w:t>
      </w:r>
      <w:bookmarkStart w:id="408" w:name="xdx_82D_zx7uH0iDk8E1"/>
      <w:bookmarkEnd w:id="408"/>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Lessor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both July 31, 2026 and April 30, 2026, the Company had four WAM-V’s, as of the same dates, and had three and zero buoys, respectively, leased to customers which have been classified as operating leases per accounting guidance contained within ASC 842. The remaining term on these operating leases is less than </w:t>
      </w:r>
      <w:bookmarkStart w:id="409" w:name="xdx_905_eus-gaap--LesseeOperatingLeaseRe"/>
      <w:bookmarkEnd w:id="409"/>
      <w:r>
        <w:rPr>
          <w:rFonts w:ascii="Times New Roman;Times;Serif" w:hAnsi="Times New Roman;Times;Serif"/>
          <w:b w:val="false"/>
          <w:i w:val="false"/>
          <w:caps w:val="false"/>
          <w:smallCaps w:val="false"/>
          <w:sz w:val="20"/>
        </w:rPr>
        <w:t>1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Lessee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and operating lease liabilities are recognized based on the present value of future minimum lease payments over the lease term at commencement date. When the implicit rate of the lease is not provided or cannot be determined, the Company uses the incremental borrowing rate based on the information available at the effective date to determine the present value of future payments. Lease terms may include options to extend or terminate the lease when it is reasonably certain that the Company will exercise those options. The renewal options have not been included in the lease term as they are not reasonably certain of exercise. The Company’s operating leases consist of leases for office facilities and warehouse space. Lease expense for minimum lease payments is recognized on a straight-line basis over the lease term and consists of interest on the lease liability and the amortization of the right of use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lease for its facility located in Monroe Township, New Jersey that is used as warehouse/production space and the Company’s principal offices and corporate headquarters. In August 2025, the Company extended the lease for its main headquarters in Monroe, NJ to October 31, 2027 and it was executed and recorded as an additional right of use asset and liability. The lease is classified as an operating lease and is included in right-of-use assets, right-of-use liabilities – current, and right-of-use liabilities- long-term on the Company’s Consolidated Balance Sheets.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has a lease for office space located in Richmond, California. </w:t>
      </w:r>
      <w:bookmarkStart w:id="410" w:name="xdx_903_eus-gaap--LesseeOperatingLeaseDe"/>
      <w:bookmarkEnd w:id="410"/>
      <w:r>
        <w:rPr>
          <w:rFonts w:ascii="Times New Roman;Times;Serif" w:hAnsi="Times New Roman;Times;Serif"/>
          <w:b w:val="false"/>
          <w:i w:val="false"/>
          <w:caps w:val="false"/>
          <w:smallCaps w:val="false"/>
          <w:sz w:val="20"/>
        </w:rPr>
        <w:t>This lease commenced in April of 2023 and will continue for 62 months. The lease is classified as an operating lease and is included in right-of-use assets, right-of-use liabilities- current and right-of-use liabilities- long-term on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has a lease for warehouse space located in Richmond, California. </w:t>
      </w:r>
      <w:bookmarkStart w:id="411" w:name="xdx_90A_eus-gaap--LesseeOperatingLeaseDe"/>
      <w:bookmarkEnd w:id="411"/>
      <w:r>
        <w:rPr>
          <w:rFonts w:ascii="Times New Roman;Times;Serif" w:hAnsi="Times New Roman;Times;Serif"/>
          <w:b w:val="false"/>
          <w:i w:val="false"/>
          <w:caps w:val="false"/>
          <w:smallCaps w:val="false"/>
          <w:sz w:val="20"/>
        </w:rPr>
        <w:t>The lease commenced in June of 2025 and will continue for 24 months. The lease is classified as an operating lease and is included in right-of-use assets, right-of-use liabilities- current and right-of-use liabilities- long-term on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expenses, if any, are recorded as incurred. The operating lease expense in the Consolidated Statement of Operations the three months ended July 31, 2026 and 2025 were $</w:t>
      </w:r>
      <w:bookmarkStart w:id="412" w:name="xdx_90C_eus-gaap--OperatingLeaseExpense_"/>
      <w:bookmarkEnd w:id="412"/>
      <w:r>
        <w:rPr>
          <w:rFonts w:ascii="Times New Roman;Times;Serif" w:hAnsi="Times New Roman;Times;Serif"/>
          <w:b w:val="false"/>
          <w:i w:val="false"/>
          <w:caps w:val="false"/>
          <w:smallCaps w:val="false"/>
          <w:sz w:val="20"/>
        </w:rPr>
        <w:t>312,000 and $</w:t>
      </w:r>
      <w:bookmarkStart w:id="413" w:name="xdx_90E_eus-gaap--OperatingLeaseExpense_"/>
      <w:bookmarkEnd w:id="413"/>
      <w:r>
        <w:rPr>
          <w:rFonts w:ascii="Times New Roman;Times;Serif" w:hAnsi="Times New Roman;Times;Serif"/>
          <w:b w:val="false"/>
          <w:i w:val="false"/>
          <w:caps w:val="false"/>
          <w:smallCaps w:val="false"/>
          <w:sz w:val="20"/>
        </w:rPr>
        <w:t>267,000, respectively. The operating lease cash flow payments for the three months ended July 31, 2026 and 2025 were $</w:t>
      </w:r>
      <w:bookmarkStart w:id="414" w:name="xdx_90B_eus-gaap--OperatingLeasePayments"/>
      <w:bookmarkEnd w:id="414"/>
      <w:r>
        <w:rPr>
          <w:rFonts w:ascii="Times New Roman;Times;Serif" w:hAnsi="Times New Roman;Times;Serif"/>
          <w:b w:val="false"/>
          <w:i w:val="false"/>
          <w:caps w:val="false"/>
          <w:smallCaps w:val="false"/>
          <w:sz w:val="20"/>
        </w:rPr>
        <w:t>328,000 and $</w:t>
      </w:r>
      <w:bookmarkStart w:id="415" w:name="xdx_90D_eus-gaap--OperatingLeasePayments"/>
      <w:bookmarkEnd w:id="415"/>
      <w:r>
        <w:rPr>
          <w:rFonts w:ascii="Times New Roman;Times;Serif" w:hAnsi="Times New Roman;Times;Serif"/>
          <w:b w:val="false"/>
          <w:i w:val="false"/>
          <w:caps w:val="false"/>
          <w:smallCaps w:val="false"/>
          <w:sz w:val="20"/>
        </w:rPr>
        <w:t>314,000,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6" w:name="xdx_89F_eus-gaap--LeaseCostTableTextBloc"/>
      <w:bookmarkEnd w:id="416"/>
      <w:r>
        <w:rPr>
          <w:rFonts w:ascii="Times New Roman;Times;Serif" w:hAnsi="Times New Roman;Times;Serif"/>
          <w:b w:val="false"/>
          <w:i w:val="false"/>
          <w:caps w:val="false"/>
          <w:smallCaps w:val="false"/>
          <w:sz w:val="20"/>
        </w:rPr>
        <w:t>The components of lease expense which are included in our operating expenses in the Consolidated Statement of Operations for the three months ended July 31, 2026 and 2025 were as follows:</w:t>
      </w:r>
    </w:p>
    <w:p>
      <w:pPr>
        <w:pStyle w:val="TextBody"/>
        <w:bidi w:val="0"/>
        <w:spacing w:before="0" w:after="0"/>
        <w:ind w:left="0" w:right="0" w:hanging="0"/>
        <w:jc w:val="both"/>
        <w:rPr>
          <w:caps w:val="false"/>
          <w:smallCaps w:val="false"/>
        </w:rPr>
      </w:pPr>
      <w:r>
        <w:rPr>
          <w:caps w:val="false"/>
          <w:smallCaps w:val="false"/>
        </w:rPr>
        <w:t> </w:t>
      </w:r>
      <w:bookmarkStart w:id="417" w:name="xdx_8B9_zIgPIZ3joQo9"/>
      <w:bookmarkEnd w:id="417"/>
      <w:r>
        <w:rPr>
          <w:rFonts w:ascii="Times New Roman;Times;Serif" w:hAnsi="Times New Roman;Times;Serif"/>
          <w:b w:val="false"/>
          <w:i w:val="false"/>
          <w:caps w:val="false"/>
          <w:smallCaps w:val="false"/>
          <w:sz w:val="20"/>
        </w:rPr>
        <w:t>Schedule of Operating Lease Costs</w:t>
      </w:r>
    </w:p>
    <w:tbl>
      <w:tblPr>
        <w:tblW w:w="5107" w:type="dxa"/>
        <w:jc w:val="left"/>
        <w:tblInd w:w="0" w:type="dxa"/>
        <w:tblLayout w:type="fixed"/>
        <w:tblCellMar>
          <w:top w:w="0" w:type="dxa"/>
          <w:left w:w="0" w:type="dxa"/>
          <w:bottom w:w="0" w:type="dxa"/>
          <w:right w:w="0" w:type="dxa"/>
        </w:tblCellMar>
      </w:tblPr>
      <w:tblGrid>
        <w:gridCol w:w="2000"/>
        <w:gridCol w:w="60"/>
        <w:gridCol w:w="359"/>
        <w:gridCol w:w="974"/>
        <w:gridCol w:w="153"/>
        <w:gridCol w:w="153"/>
        <w:gridCol w:w="359"/>
        <w:gridCol w:w="974"/>
        <w:gridCol w:w="75"/>
      </w:tblGrid>
      <w:tr>
        <w:trPr/>
        <w:tc>
          <w:tcPr>
            <w:tcW w:w="20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bookmarkStart w:id="418" w:name="xdx_496_20260501__20260731_zlh3bfmgBbyj"/>
            <w:bookmarkEnd w:id="418"/>
          </w:p>
        </w:tc>
        <w:tc>
          <w:tcPr>
            <w:tcW w:w="974" w:type="dxa"/>
            <w:tcBorders/>
            <w:shd w:fill="CCEEFF" w:val="clear"/>
            <w:vAlign w:val="center"/>
          </w:tcPr>
          <w:p>
            <w:pPr>
              <w:pStyle w:val="TableContents"/>
              <w:bidi w:val="0"/>
              <w:spacing w:before="0" w:after="283"/>
              <w:jc w:val="right"/>
              <w:rPr/>
            </w:pPr>
            <w:r>
              <w:rPr/>
              <w:t> </w:t>
            </w:r>
          </w:p>
        </w:tc>
        <w:tc>
          <w:tcPr>
            <w:tcW w:w="15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bookmarkStart w:id="419" w:name="xdx_492_20250501__20250731_zD5LWNC5AuB"/>
            <w:bookmarkEnd w:id="419"/>
          </w:p>
        </w:tc>
        <w:tc>
          <w:tcPr>
            <w:tcW w:w="9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7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July 31,</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3"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72" w:type="dxa"/>
            <w:gridSpan w:val="6"/>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bookmarkStart w:id="420" w:name="xdx_409_eus-gaap--OperatingLeaseCost_pn3"/>
            <w:bookmarkEnd w:id="420"/>
          </w:p>
        </w:tc>
      </w:tr>
      <w:tr>
        <w:trPr/>
        <w:tc>
          <w:tcPr>
            <w:tcW w:w="200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w:t>
            </w:r>
          </w:p>
        </w:tc>
        <w:tc>
          <w:tcPr>
            <w:tcW w:w="974" w:type="dxa"/>
            <w:tcBorders/>
            <w:shd w:fill="CCEEFF" w:val="clear"/>
            <w:vAlign w:val="center"/>
          </w:tcPr>
          <w:p>
            <w:pPr>
              <w:pStyle w:val="TableContents"/>
              <w:bidi w:val="0"/>
              <w:spacing w:before="0" w:after="283"/>
              <w:jc w:val="right"/>
              <w:rPr/>
            </w:pPr>
            <w:r>
              <w:rPr/>
              <w:t>312</w:t>
            </w:r>
          </w:p>
        </w:tc>
        <w:tc>
          <w:tcPr>
            <w:tcW w:w="15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w:t>
            </w:r>
          </w:p>
        </w:tc>
        <w:tc>
          <w:tcPr>
            <w:tcW w:w="974" w:type="dxa"/>
            <w:tcBorders/>
            <w:shd w:fill="CCEEFF" w:val="clear"/>
            <w:vAlign w:val="center"/>
          </w:tcPr>
          <w:p>
            <w:pPr>
              <w:pStyle w:val="TableContents"/>
              <w:bidi w:val="0"/>
              <w:spacing w:before="0" w:after="283"/>
              <w:jc w:val="right"/>
              <w:rPr/>
            </w:pPr>
            <w:r>
              <w:rPr/>
              <w:t>267</w:t>
            </w:r>
          </w:p>
        </w:tc>
        <w:tc>
          <w:tcPr>
            <w:tcW w:w="75" w:type="dxa"/>
            <w:tcBorders/>
            <w:shd w:fill="CCEEFF" w:val="clear"/>
            <w:vAlign w:val="center"/>
          </w:tcPr>
          <w:p>
            <w:pPr>
              <w:pStyle w:val="TableContents"/>
              <w:bidi w:val="0"/>
              <w:spacing w:before="0" w:after="283"/>
              <w:jc w:val="left"/>
              <w:rPr/>
            </w:pPr>
            <w:r>
              <w:rPr/>
              <w:t> </w:t>
            </w:r>
            <w:bookmarkStart w:id="421" w:name="xdx_400_eus-gaap--ShortTermLeaseCost_pn3"/>
            <w:bookmarkEnd w:id="421"/>
          </w:p>
        </w:tc>
      </w:tr>
      <w:tr>
        <w:trPr/>
        <w:tc>
          <w:tcPr>
            <w:tcW w:w="2000" w:type="dxa"/>
            <w:tcBorders/>
            <w:shd w:fill="FFFFFF" w:val="clear"/>
            <w:vAlign w:val="center"/>
          </w:tcPr>
          <w:p>
            <w:pPr>
              <w:pStyle w:val="TableContents"/>
              <w:bidi w:val="0"/>
              <w:spacing w:before="0" w:after="283"/>
              <w:jc w:val="left"/>
              <w:rPr/>
            </w:pPr>
            <w:r>
              <w:rPr/>
              <w:t>Short-term lease cost</w:t>
            </w:r>
          </w:p>
        </w:tc>
        <w:tc>
          <w:tcPr>
            <w:tcW w:w="60" w:type="dxa"/>
            <w:tcBorders/>
            <w:shd w:fill="FFFFFF" w:val="clear"/>
            <w:vAlign w:val="center"/>
          </w:tcPr>
          <w:p>
            <w:pPr>
              <w:pStyle w:val="TableContents"/>
              <w:bidi w:val="0"/>
              <w:spacing w:before="0" w:after="283"/>
              <w:jc w:val="left"/>
              <w:rPr/>
            </w:pPr>
            <w:r>
              <w:rPr/>
              <w:t> </w:t>
            </w:r>
          </w:p>
        </w:tc>
        <w:tc>
          <w:tcPr>
            <w:tcW w:w="3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3"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3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422" w:name="xdx_40F_eus-gaap--LeaseCost_iT_pn3n3_mtL"/>
            <w:bookmarkEnd w:id="422"/>
          </w:p>
        </w:tc>
      </w:tr>
      <w:tr>
        <w:trPr/>
        <w:tc>
          <w:tcPr>
            <w:tcW w:w="2000"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3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4" w:type="dxa"/>
            <w:tcBorders>
              <w:bottom w:val="double" w:sz="6" w:space="0" w:color="000000"/>
            </w:tcBorders>
            <w:shd w:fill="CCEEFF" w:val="clear"/>
            <w:tcMar>
              <w:bottom w:w="28" w:type="dxa"/>
            </w:tcMar>
            <w:vAlign w:val="center"/>
          </w:tcPr>
          <w:p>
            <w:pPr>
              <w:pStyle w:val="TableContents"/>
              <w:bidi w:val="0"/>
              <w:spacing w:before="0" w:after="283"/>
              <w:jc w:val="right"/>
              <w:rPr/>
            </w:pPr>
            <w:r>
              <w:rPr/>
              <w:t>312</w:t>
            </w:r>
          </w:p>
        </w:tc>
        <w:tc>
          <w:tcPr>
            <w:tcW w:w="153"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3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74" w:type="dxa"/>
            <w:tcBorders>
              <w:bottom w:val="double" w:sz="6" w:space="0" w:color="000000"/>
            </w:tcBorders>
            <w:shd w:fill="CCEEFF" w:val="clear"/>
            <w:tcMar>
              <w:bottom w:w="28" w:type="dxa"/>
            </w:tcMar>
            <w:vAlign w:val="center"/>
          </w:tcPr>
          <w:p>
            <w:pPr>
              <w:pStyle w:val="TableContents"/>
              <w:bidi w:val="0"/>
              <w:spacing w:before="0" w:after="283"/>
              <w:jc w:val="right"/>
              <w:rPr/>
            </w:pPr>
            <w:r>
              <w:rPr/>
              <w:t>267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23" w:name="xdx_8AA_zxFNQyTiVnwe"/>
      <w:bookmarkEnd w:id="42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4" w:name="xdx_899_ecustom--ScheduleOfRightofUseAss"/>
      <w:bookmarkEnd w:id="424"/>
      <w:r>
        <w:rPr>
          <w:rFonts w:ascii="Times New Roman;Times;Serif" w:hAnsi="Times New Roman;Times;Serif"/>
          <w:b w:val="false"/>
          <w:i w:val="false"/>
          <w:caps w:val="false"/>
          <w:smallCaps w:val="false"/>
          <w:sz w:val="20"/>
        </w:rPr>
        <w:t>Information related to the Company’s right-of use assets and lease liabilities as of July 31, 2026 was as follows: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5" w:name="xdx_8B0_zAcHU070X2lk"/>
      <w:bookmarkEnd w:id="425"/>
      <w:r>
        <w:rPr>
          <w:rFonts w:ascii="Times New Roman;Times;Serif" w:hAnsi="Times New Roman;Times;Serif"/>
          <w:b w:val="false"/>
          <w:i w:val="false"/>
          <w:caps w:val="false"/>
          <w:smallCaps w:val="false"/>
          <w:sz w:val="20"/>
        </w:rPr>
        <w:t>Schedule of Right-of use Assets and Lease Liabilities </w:t>
      </w:r>
    </w:p>
    <w:tbl>
      <w:tblPr>
        <w:tblW w:w="7034" w:type="dxa"/>
        <w:jc w:val="left"/>
        <w:tblInd w:w="0" w:type="dxa"/>
        <w:tblLayout w:type="fixed"/>
        <w:tblCellMar>
          <w:top w:w="0" w:type="dxa"/>
          <w:left w:w="0" w:type="dxa"/>
          <w:bottom w:w="0" w:type="dxa"/>
          <w:right w:w="0" w:type="dxa"/>
        </w:tblCellMar>
      </w:tblPr>
      <w:tblGrid>
        <w:gridCol w:w="5390"/>
        <w:gridCol w:w="60"/>
        <w:gridCol w:w="192"/>
        <w:gridCol w:w="1162"/>
        <w:gridCol w:w="230"/>
      </w:tblGrid>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26" w:name="xdx_498_20260731_z6dBAg6Qvbh8"/>
            <w:bookmarkEnd w:id="426"/>
          </w:p>
        </w:tc>
        <w:tc>
          <w:tcPr>
            <w:tcW w:w="13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July 31, 2026</w:t>
            </w:r>
          </w:p>
        </w:tc>
        <w:tc>
          <w:tcPr>
            <w:tcW w:w="23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center"/>
              <w:rPr/>
            </w:pPr>
            <w:r>
              <w:rPr/>
              <w:t>(in thousands)</w:t>
            </w:r>
          </w:p>
        </w:tc>
        <w:tc>
          <w:tcPr>
            <w:tcW w:w="230" w:type="dxa"/>
            <w:tcBorders/>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u w:val="single"/>
              </w:rPr>
            </w:pPr>
            <w:r>
              <w:rPr>
                <w:u w:val="single"/>
              </w:rPr>
              <w:t>Operating lease:</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bookmarkStart w:id="427" w:name="xdx_40E_eus-gaap--OperatingLeaseRightOfU"/>
            <w:bookmarkEnd w:id="427"/>
          </w:p>
        </w:tc>
      </w:tr>
      <w:tr>
        <w:trPr/>
        <w:tc>
          <w:tcPr>
            <w:tcW w:w="5390" w:type="dxa"/>
            <w:tcBorders/>
            <w:shd w:fill="FFFFFF" w:val="clear"/>
            <w:vAlign w:val="center"/>
          </w:tcPr>
          <w:p>
            <w:pPr>
              <w:pStyle w:val="TableContents"/>
              <w:bidi w:val="0"/>
              <w:spacing w:before="0" w:after="283"/>
              <w:jc w:val="left"/>
              <w:rPr/>
            </w:pPr>
            <w:r>
              <w:rPr/>
              <w:t>Operating right-of-use assets, net</w:t>
            </w:r>
          </w:p>
        </w:tc>
        <w:tc>
          <w:tcPr>
            <w:tcW w:w="60" w:type="dxa"/>
            <w:tcBorders/>
            <w:shd w:fill="FFFFFF" w:val="cle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2" w:type="dxa"/>
            <w:tcBorders>
              <w:bottom w:val="double" w:sz="6" w:space="0" w:color="000000"/>
            </w:tcBorders>
            <w:shd w:fill="FFFFFF" w:val="clear"/>
            <w:tcMar>
              <w:bottom w:w="28" w:type="dxa"/>
            </w:tcMar>
            <w:vAlign w:val="center"/>
          </w:tcPr>
          <w:p>
            <w:pPr>
              <w:pStyle w:val="TableContents"/>
              <w:bidi w:val="0"/>
              <w:spacing w:before="0" w:after="283"/>
              <w:jc w:val="right"/>
              <w:rPr/>
            </w:pPr>
            <w:r>
              <w:rPr/>
              <w:t>1,614</w:t>
            </w:r>
          </w:p>
        </w:tc>
        <w:tc>
          <w:tcPr>
            <w:tcW w:w="230" w:type="dxa"/>
            <w:tcBorders/>
            <w:shd w:fill="FFFFFF" w:val="cle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bookmarkStart w:id="428" w:name="xdx_40A_eus-gaap--OperatingLeaseLiabilit"/>
            <w:bookmarkEnd w:id="428"/>
          </w:p>
        </w:tc>
      </w:tr>
      <w:tr>
        <w:trPr/>
        <w:tc>
          <w:tcPr>
            <w:tcW w:w="5390" w:type="dxa"/>
            <w:tcBorders/>
            <w:shd w:fill="FFFFFF" w:val="clear"/>
            <w:vAlign w:val="center"/>
          </w:tcPr>
          <w:p>
            <w:pPr>
              <w:pStyle w:val="TableContents"/>
              <w:bidi w:val="0"/>
              <w:spacing w:before="0" w:after="283"/>
              <w:jc w:val="left"/>
              <w:rPr/>
            </w:pPr>
            <w:r>
              <w:rPr/>
              <w:t>Right-of-use liabilities- current</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w:t>
            </w:r>
          </w:p>
        </w:tc>
        <w:tc>
          <w:tcPr>
            <w:tcW w:w="1162" w:type="dxa"/>
            <w:tcBorders/>
            <w:shd w:fill="FFFFFF" w:val="clear"/>
            <w:vAlign w:val="center"/>
          </w:tcPr>
          <w:p>
            <w:pPr>
              <w:pStyle w:val="TableContents"/>
              <w:bidi w:val="0"/>
              <w:spacing w:before="0" w:after="283"/>
              <w:jc w:val="right"/>
              <w:rPr/>
            </w:pPr>
            <w:r>
              <w:rPr/>
              <w:t>1,228</w:t>
            </w:r>
          </w:p>
        </w:tc>
        <w:tc>
          <w:tcPr>
            <w:tcW w:w="230" w:type="dxa"/>
            <w:tcBorders/>
            <w:shd w:fill="FFFFFF" w:val="clear"/>
            <w:vAlign w:val="center"/>
          </w:tcPr>
          <w:p>
            <w:pPr>
              <w:pStyle w:val="TableContents"/>
              <w:bidi w:val="0"/>
              <w:spacing w:before="0" w:after="283"/>
              <w:jc w:val="left"/>
              <w:rPr/>
            </w:pPr>
            <w:r>
              <w:rPr/>
              <w:t> </w:t>
            </w:r>
            <w:bookmarkStart w:id="429" w:name="xdx_40A_eus-gaap--OperatingLeaseLiabilit"/>
            <w:bookmarkEnd w:id="429"/>
          </w:p>
        </w:tc>
      </w:tr>
      <w:tr>
        <w:trPr/>
        <w:tc>
          <w:tcPr>
            <w:tcW w:w="5390" w:type="dxa"/>
            <w:tcBorders/>
            <w:shd w:fill="CCEEFF" w:val="clear"/>
            <w:vAlign w:val="center"/>
          </w:tcPr>
          <w:p>
            <w:pPr>
              <w:pStyle w:val="TableContents"/>
              <w:bidi w:val="0"/>
              <w:spacing w:before="0" w:after="283"/>
              <w:jc w:val="left"/>
              <w:rPr/>
            </w:pPr>
            <w:r>
              <w:rPr/>
              <w:t>Right-of-use liabilities- long term</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2" w:type="dxa"/>
            <w:tcBorders>
              <w:bottom w:val="single" w:sz="8" w:space="0" w:color="000000"/>
            </w:tcBorders>
            <w:shd w:fill="CCEEFF" w:val="clear"/>
            <w:tcMar>
              <w:bottom w:w="28" w:type="dxa"/>
            </w:tcMar>
            <w:vAlign w:val="center"/>
          </w:tcPr>
          <w:p>
            <w:pPr>
              <w:pStyle w:val="TableContents"/>
              <w:bidi w:val="0"/>
              <w:spacing w:before="0" w:after="283"/>
              <w:jc w:val="right"/>
              <w:rPr/>
            </w:pPr>
            <w:r>
              <w:rPr/>
              <w:t>522</w:t>
            </w:r>
          </w:p>
        </w:tc>
        <w:tc>
          <w:tcPr>
            <w:tcW w:w="230" w:type="dxa"/>
            <w:tcBorders/>
            <w:shd w:fill="CCEEFF" w:val="clear"/>
            <w:vAlign w:val="center"/>
          </w:tcPr>
          <w:p>
            <w:pPr>
              <w:pStyle w:val="TableContents"/>
              <w:bidi w:val="0"/>
              <w:spacing w:before="0" w:after="283"/>
              <w:jc w:val="left"/>
              <w:rPr/>
            </w:pPr>
            <w:r>
              <w:rPr/>
              <w:t> </w:t>
            </w:r>
            <w:bookmarkStart w:id="430" w:name="xdx_407_eus-gaap--OperatingLeaseLiabilit"/>
            <w:bookmarkEnd w:id="430"/>
          </w:p>
        </w:tc>
      </w:tr>
      <w:tr>
        <w:trPr/>
        <w:tc>
          <w:tcPr>
            <w:tcW w:w="5390" w:type="dxa"/>
            <w:tcBorders/>
            <w:shd w:fill="FFFFFF" w:val="clear"/>
            <w:vAlign w:val="center"/>
          </w:tcPr>
          <w:p>
            <w:pPr>
              <w:pStyle w:val="TableContents"/>
              <w:bidi w:val="0"/>
              <w:spacing w:before="0" w:after="283"/>
              <w:jc w:val="left"/>
              <w:rPr/>
            </w:pPr>
            <w:r>
              <w:rPr/>
              <w:t>Total lease liabilities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2" w:type="dxa"/>
            <w:tcBorders>
              <w:bottom w:val="double" w:sz="6" w:space="0" w:color="000000"/>
            </w:tcBorders>
            <w:shd w:fill="FFFFFF" w:val="clear"/>
            <w:tcMar>
              <w:bottom w:w="28" w:type="dxa"/>
            </w:tcMar>
            <w:vAlign w:val="center"/>
          </w:tcPr>
          <w:p>
            <w:pPr>
              <w:pStyle w:val="TableContents"/>
              <w:bidi w:val="0"/>
              <w:spacing w:before="0" w:after="283"/>
              <w:jc w:val="right"/>
              <w:rPr/>
            </w:pPr>
            <w:r>
              <w:rPr/>
              <w:t>1,750</w:t>
            </w:r>
          </w:p>
        </w:tc>
        <w:tc>
          <w:tcPr>
            <w:tcW w:w="230" w:type="dxa"/>
            <w:tcBorders/>
            <w:shd w:fill="FFFFFF" w:val="cle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390" w:type="dxa"/>
            <w:tcBorders/>
            <w:shd w:fill="FFFFFF" w:val="clear"/>
            <w:vAlign w:val="center"/>
          </w:tcPr>
          <w:p>
            <w:pPr>
              <w:pStyle w:val="TableContents"/>
              <w:bidi w:val="0"/>
              <w:spacing w:before="0" w:after="283"/>
              <w:jc w:val="left"/>
              <w:rPr/>
            </w:pPr>
            <w:r>
              <w:rPr/>
              <w:t>Weighted average remaining lease term- operating leases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Times;Serif" w:hAnsi="Times New Roman;Times;Serif"/>
                <w:sz w:val="20"/>
              </w:rPr>
            </w:pPr>
            <w:bookmarkStart w:id="431" w:name="xdx_90F_eus-gaap--OperatingLeaseWeighted"/>
            <w:bookmarkEnd w:id="431"/>
            <w:r>
              <w:rPr>
                <w:rFonts w:ascii="Times New Roman;Times;Serif" w:hAnsi="Times New Roman;Times;Serif"/>
                <w:sz w:val="20"/>
              </w:rPr>
              <w:t>1.48 years</w:t>
            </w:r>
          </w:p>
        </w:tc>
        <w:tc>
          <w:tcPr>
            <w:tcW w:w="230" w:type="dxa"/>
            <w:tcBorders/>
            <w:shd w:fill="FFFFFF" w:val="cle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Weighted average discount rate- operating leases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right"/>
              <w:rPr/>
            </w:pPr>
            <w:bookmarkStart w:id="432" w:name="xdx_90F_eus-gaap--OperatingLeaseWeighted"/>
            <w:bookmarkEnd w:id="432"/>
            <w:r>
              <w:rPr/>
              <w:t>8.5</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bookmarkStart w:id="433" w:name="xdx_8AC_z241Hn323Em4"/>
      <w:bookmarkEnd w:id="43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4" w:name="xdx_896_eus-gaap--LesseeOperatingLeaseLi"/>
      <w:bookmarkEnd w:id="434"/>
      <w:r>
        <w:rPr>
          <w:rFonts w:ascii="Times New Roman;Times;Serif" w:hAnsi="Times New Roman;Times;Serif"/>
          <w:b w:val="false"/>
          <w:i w:val="false"/>
          <w:caps w:val="false"/>
          <w:smallCaps w:val="false"/>
          <w:sz w:val="20"/>
        </w:rPr>
        <w:t>Total remaining lease payments under the Company’s operating leases are as follows:</w:t>
      </w:r>
    </w:p>
    <w:p>
      <w:pPr>
        <w:pStyle w:val="TextBody"/>
        <w:bidi w:val="0"/>
        <w:spacing w:before="0" w:after="0"/>
        <w:ind w:left="0" w:right="0" w:hanging="0"/>
        <w:jc w:val="both"/>
        <w:rPr>
          <w:caps w:val="false"/>
          <w:smallCaps w:val="false"/>
        </w:rPr>
      </w:pPr>
      <w:r>
        <w:rPr>
          <w:caps w:val="false"/>
          <w:smallCaps w:val="false"/>
        </w:rPr>
        <w:t> </w:t>
      </w:r>
      <w:bookmarkStart w:id="435" w:name="xdx_8BD_zJoTYBnX5808"/>
      <w:bookmarkEnd w:id="435"/>
      <w:r>
        <w:rPr>
          <w:rFonts w:ascii="Times New Roman;Times;Serif" w:hAnsi="Times New Roman;Times;Serif"/>
          <w:b w:val="false"/>
          <w:i w:val="false"/>
          <w:caps w:val="false"/>
          <w:smallCaps w:val="false"/>
          <w:sz w:val="20"/>
        </w:rPr>
        <w:t>Schedule of Future Minimum Lease Payments Under Operating Lease</w:t>
      </w:r>
    </w:p>
    <w:tbl>
      <w:tblPr>
        <w:tblW w:w="5115" w:type="dxa"/>
        <w:jc w:val="left"/>
        <w:tblInd w:w="0" w:type="dxa"/>
        <w:tblLayout w:type="fixed"/>
        <w:tblCellMar>
          <w:top w:w="0" w:type="dxa"/>
          <w:left w:w="0" w:type="dxa"/>
          <w:bottom w:w="0" w:type="dxa"/>
          <w:right w:w="0" w:type="dxa"/>
        </w:tblCellMar>
      </w:tblPr>
      <w:tblGrid>
        <w:gridCol w:w="3590"/>
        <w:gridCol w:w="60"/>
        <w:gridCol w:w="271"/>
        <w:gridCol w:w="1084"/>
        <w:gridCol w:w="110"/>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6" w:name="xdx_490_20260731_z4ITlMSCdufa"/>
            <w:bookmarkEnd w:id="436"/>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July 31, 2026</w:t>
            </w:r>
          </w:p>
        </w:tc>
        <w:tc>
          <w:tcPr>
            <w:tcW w:w="11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bookmarkStart w:id="437" w:name="xdx_40E_eus-gaap--LesseeOperatingLeaseLi"/>
            <w:bookmarkEnd w:id="437"/>
          </w:p>
        </w:tc>
      </w:tr>
      <w:tr>
        <w:trPr/>
        <w:tc>
          <w:tcPr>
            <w:tcW w:w="3590" w:type="dxa"/>
            <w:tcBorders/>
            <w:shd w:fill="CCEEFF" w:val="clear"/>
            <w:vAlign w:val="center"/>
          </w:tcPr>
          <w:p>
            <w:pPr>
              <w:pStyle w:val="TableContents"/>
              <w:bidi w:val="0"/>
              <w:spacing w:before="0" w:after="283"/>
              <w:jc w:val="left"/>
              <w:rPr/>
            </w:pPr>
            <w:r>
              <w:rPr/>
              <w:t>Remainder of fiscal year 2027</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1084" w:type="dxa"/>
            <w:tcBorders/>
            <w:shd w:fill="CCEEFF" w:val="clear"/>
            <w:vAlign w:val="center"/>
          </w:tcPr>
          <w:p>
            <w:pPr>
              <w:pStyle w:val="TableContents"/>
              <w:bidi w:val="0"/>
              <w:spacing w:before="0" w:after="283"/>
              <w:jc w:val="right"/>
              <w:rPr/>
            </w:pPr>
            <w:r>
              <w:rPr/>
              <w:t>994</w:t>
            </w:r>
          </w:p>
        </w:tc>
        <w:tc>
          <w:tcPr>
            <w:tcW w:w="110" w:type="dxa"/>
            <w:tcBorders/>
            <w:shd w:fill="CCEEFF" w:val="clear"/>
            <w:vAlign w:val="center"/>
          </w:tcPr>
          <w:p>
            <w:pPr>
              <w:pStyle w:val="TableContents"/>
              <w:bidi w:val="0"/>
              <w:spacing w:before="0" w:after="283"/>
              <w:jc w:val="left"/>
              <w:rPr/>
            </w:pPr>
            <w:r>
              <w:rPr/>
              <w:t> </w:t>
            </w:r>
            <w:bookmarkStart w:id="438" w:name="xdx_40B_eus-gaap--LesseeOperatingLeaseLi"/>
            <w:bookmarkEnd w:id="438"/>
          </w:p>
        </w:tc>
      </w:tr>
      <w:tr>
        <w:trPr/>
        <w:tc>
          <w:tcPr>
            <w:tcW w:w="3590" w:type="dxa"/>
            <w:tcBorders/>
            <w:shd w:fill="FFFFFF" w:val="clear"/>
            <w:vAlign w:val="center"/>
          </w:tcPr>
          <w:p>
            <w:pPr>
              <w:pStyle w:val="TableContents"/>
              <w:bidi w:val="0"/>
              <w:spacing w:before="0" w:after="283"/>
              <w:jc w:val="left"/>
              <w:rPr/>
            </w:pPr>
            <w:r>
              <w:rPr/>
              <w:t>2028</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821</w:t>
            </w:r>
          </w:p>
        </w:tc>
        <w:tc>
          <w:tcPr>
            <w:tcW w:w="110" w:type="dxa"/>
            <w:tcBorders/>
            <w:shd w:fill="FFFFFF" w:val="clear"/>
            <w:vAlign w:val="center"/>
          </w:tcPr>
          <w:p>
            <w:pPr>
              <w:pStyle w:val="TableContents"/>
              <w:bidi w:val="0"/>
              <w:spacing w:before="0" w:after="283"/>
              <w:jc w:val="left"/>
              <w:rPr/>
            </w:pPr>
            <w:r>
              <w:rPr/>
              <w:t> </w:t>
            </w:r>
            <w:bookmarkStart w:id="439" w:name="xdx_401_eus-gaap--LesseeOperatingLeaseLi"/>
            <w:bookmarkEnd w:id="439"/>
          </w:p>
        </w:tc>
      </w:tr>
      <w:tr>
        <w:trPr/>
        <w:tc>
          <w:tcPr>
            <w:tcW w:w="3590" w:type="dxa"/>
            <w:tcBorders/>
            <w:shd w:fill="CCEEFF" w:val="clear"/>
            <w:vAlign w:val="center"/>
          </w:tcPr>
          <w:p>
            <w:pPr>
              <w:pStyle w:val="TableContents"/>
              <w:bidi w:val="0"/>
              <w:spacing w:before="0" w:after="283"/>
              <w:jc w:val="left"/>
              <w:rPr/>
            </w:pPr>
            <w:r>
              <w:rPr/>
              <w:t>2029</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28</w:t>
            </w:r>
          </w:p>
        </w:tc>
        <w:tc>
          <w:tcPr>
            <w:tcW w:w="110" w:type="dxa"/>
            <w:tcBorders/>
            <w:shd w:fill="CCEEFF" w:val="clear"/>
            <w:vAlign w:val="center"/>
          </w:tcPr>
          <w:p>
            <w:pPr>
              <w:pStyle w:val="TableContents"/>
              <w:bidi w:val="0"/>
              <w:spacing w:before="0" w:after="283"/>
              <w:jc w:val="left"/>
              <w:rPr/>
            </w:pPr>
            <w:r>
              <w:rPr/>
              <w:t> </w:t>
            </w:r>
            <w:bookmarkStart w:id="440" w:name="xdx_40F_eus-gaap--LesseeOperatingLeaseLi"/>
            <w:bookmarkEnd w:id="440"/>
          </w:p>
        </w:tc>
      </w:tr>
      <w:tr>
        <w:trPr/>
        <w:tc>
          <w:tcPr>
            <w:tcW w:w="3590" w:type="dxa"/>
            <w:tcBorders/>
            <w:shd w:fill="FFFFFF" w:val="clear"/>
            <w:vAlign w:val="center"/>
          </w:tcPr>
          <w:p>
            <w:pPr>
              <w:pStyle w:val="TableContents"/>
              <w:bidi w:val="0"/>
              <w:spacing w:before="0" w:after="283"/>
              <w:jc w:val="left"/>
              <w:rPr/>
            </w:pPr>
            <w:r>
              <w:rPr/>
              <w:t>2030</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441" w:name="xdx_406_eus-gaap--LesseeOperatingLeaseLi"/>
            <w:bookmarkEnd w:id="441"/>
          </w:p>
        </w:tc>
      </w:tr>
      <w:tr>
        <w:trPr/>
        <w:tc>
          <w:tcPr>
            <w:tcW w:w="3590" w:type="dxa"/>
            <w:tcBorders/>
            <w:shd w:fill="CCEEFF" w:val="clear"/>
            <w:vAlign w:val="center"/>
          </w:tcPr>
          <w:p>
            <w:pPr>
              <w:pStyle w:val="TableContents"/>
              <w:bidi w:val="0"/>
              <w:spacing w:before="0" w:after="283"/>
              <w:jc w:val="left"/>
              <w:rPr/>
            </w:pPr>
            <w:r>
              <w:rPr/>
              <w:t>2031</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442" w:name="xdx_40C_ecustom--LesseeOperatingLeaseLia"/>
            <w:bookmarkEnd w:id="442"/>
          </w:p>
        </w:tc>
      </w:tr>
      <w:tr>
        <w:trPr/>
        <w:tc>
          <w:tcPr>
            <w:tcW w:w="3590"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2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443" w:name="xdx_403_eus-gaap--LesseeOperatingLeaseLi"/>
            <w:bookmarkEnd w:id="443"/>
          </w:p>
        </w:tc>
      </w:tr>
      <w:tr>
        <w:trPr/>
        <w:tc>
          <w:tcPr>
            <w:tcW w:w="3590" w:type="dxa"/>
            <w:tcBorders/>
            <w:shd w:fill="CCEEFF" w:val="clear"/>
            <w:vAlign w:val="center"/>
          </w:tcPr>
          <w:p>
            <w:pPr>
              <w:pStyle w:val="TableContents"/>
              <w:bidi w:val="0"/>
              <w:spacing w:before="0" w:after="283"/>
              <w:jc w:val="left"/>
              <w:rPr/>
            </w:pPr>
            <w:r>
              <w:rPr/>
              <w:t>Total future minimum lease payments</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1084" w:type="dxa"/>
            <w:tcBorders/>
            <w:shd w:fill="CCEEFF" w:val="clear"/>
            <w:vAlign w:val="center"/>
          </w:tcPr>
          <w:p>
            <w:pPr>
              <w:pStyle w:val="TableContents"/>
              <w:bidi w:val="0"/>
              <w:spacing w:before="0" w:after="283"/>
              <w:jc w:val="right"/>
              <w:rPr/>
            </w:pPr>
            <w:r>
              <w:rPr/>
              <w:t>1,843</w:t>
            </w:r>
          </w:p>
        </w:tc>
        <w:tc>
          <w:tcPr>
            <w:tcW w:w="110" w:type="dxa"/>
            <w:tcBorders/>
            <w:shd w:fill="CCEEFF" w:val="clear"/>
            <w:vAlign w:val="center"/>
          </w:tcPr>
          <w:p>
            <w:pPr>
              <w:pStyle w:val="TableContents"/>
              <w:bidi w:val="0"/>
              <w:spacing w:before="0" w:after="283"/>
              <w:jc w:val="left"/>
              <w:rPr/>
            </w:pPr>
            <w:r>
              <w:rPr/>
              <w:t> </w:t>
            </w:r>
            <w:bookmarkStart w:id="444" w:name="xdx_40E_eus-gaap--LesseeOperatingLeaseLi"/>
            <w:bookmarkEnd w:id="444"/>
          </w:p>
        </w:tc>
      </w:tr>
      <w:tr>
        <w:trPr/>
        <w:tc>
          <w:tcPr>
            <w:tcW w:w="3590" w:type="dxa"/>
            <w:tcBorders/>
            <w:shd w:fill="FFFFFF" w:val="clear"/>
            <w:vAlign w:val="center"/>
          </w:tcPr>
          <w:p>
            <w:pPr>
              <w:pStyle w:val="TableContents"/>
              <w:bidi w:val="0"/>
              <w:spacing w:before="0" w:after="283"/>
              <w:jc w:val="left"/>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2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pPr>
            <w:r>
              <w:rPr/>
              <w:t>(93</w:t>
            </w:r>
          </w:p>
        </w:tc>
        <w:tc>
          <w:tcPr>
            <w:tcW w:w="110" w:type="dxa"/>
            <w:tcBorders/>
            <w:shd w:fill="FFFFFF" w:val="clear"/>
            <w:vAlign w:val="center"/>
          </w:tcPr>
          <w:p>
            <w:pPr>
              <w:pStyle w:val="TableContents"/>
              <w:bidi w:val="0"/>
              <w:spacing w:before="0" w:after="283"/>
              <w:jc w:val="left"/>
              <w:rPr/>
            </w:pPr>
            <w:r>
              <w:rPr/>
              <w:t>)</w:t>
            </w:r>
            <w:bookmarkStart w:id="445" w:name="xdx_403_eus-gaap--OperatingLeaseLiabilit"/>
            <w:bookmarkEnd w:id="445"/>
          </w:p>
        </w:tc>
      </w:tr>
      <w:tr>
        <w:trPr/>
        <w:tc>
          <w:tcPr>
            <w:tcW w:w="359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4" w:type="dxa"/>
            <w:tcBorders>
              <w:bottom w:val="double" w:sz="6" w:space="0" w:color="000000"/>
            </w:tcBorders>
            <w:shd w:fill="CCEEFF" w:val="clear"/>
            <w:tcMar>
              <w:bottom w:w="28" w:type="dxa"/>
            </w:tcMar>
            <w:vAlign w:val="center"/>
          </w:tcPr>
          <w:p>
            <w:pPr>
              <w:pStyle w:val="TableContents"/>
              <w:bidi w:val="0"/>
              <w:spacing w:before="0" w:after="283"/>
              <w:jc w:val="right"/>
              <w:rPr/>
            </w:pPr>
            <w:r>
              <w:rPr/>
              <w:t>1,750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46" w:name="xdx_8AF_zfaVtovEcxkb"/>
      <w:bookmarkEnd w:id="44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7" w:name="xdx_809_eus-gaap--AccountsPayableAndAccr"/>
      <w:bookmarkEnd w:id="447"/>
      <w:r>
        <w:rPr>
          <w:rFonts w:ascii="Times New Roman;Times;Serif" w:hAnsi="Times New Roman;Times;Serif"/>
          <w:b/>
          <w:i w:val="false"/>
          <w:caps w:val="false"/>
          <w:smallCaps w:val="false"/>
          <w:sz w:val="20"/>
        </w:rPr>
        <w:t xml:space="preserve">(10) </w:t>
      </w:r>
      <w:bookmarkStart w:id="448" w:name="xdx_822_zZT5u1pcwCQ9"/>
      <w:bookmarkEnd w:id="448"/>
      <w:r>
        <w:rPr>
          <w:rFonts w:ascii="Times New Roman;Times;Serif" w:hAnsi="Times New Roman;Times;Serif"/>
          <w:b/>
          <w:i w:val="false"/>
          <w:caps w:val="false"/>
          <w:smallCaps w:val="false"/>
          <w:sz w:val="20"/>
        </w:rPr>
        <w:t>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49" w:name="xdx_898_eus-gaap--ScheduleOfAccruedLiabi"/>
      <w:bookmarkEnd w:id="449"/>
      <w:r>
        <w:rPr>
          <w:rFonts w:ascii="Times New Roman;Times;Serif" w:hAnsi="Times New Roman;Times;Serif"/>
          <w:b w:val="false"/>
          <w:i w:val="false"/>
          <w:caps w:val="false"/>
          <w:smallCaps w:val="false"/>
          <w:sz w:val="20"/>
        </w:rPr>
        <w:t>Accrued expenses consisted of the following at July 31, 2026 and April 30, 2026:</w:t>
      </w:r>
    </w:p>
    <w:p>
      <w:pPr>
        <w:pStyle w:val="TextBody"/>
        <w:bidi w:val="0"/>
        <w:spacing w:before="0" w:after="0"/>
        <w:ind w:left="0" w:right="0" w:hanging="0"/>
        <w:jc w:val="both"/>
        <w:rPr>
          <w:caps w:val="false"/>
          <w:smallCaps w:val="false"/>
        </w:rPr>
      </w:pPr>
      <w:r>
        <w:rPr>
          <w:caps w:val="false"/>
          <w:smallCaps w:val="false"/>
        </w:rPr>
        <w:t> </w:t>
      </w:r>
      <w:bookmarkStart w:id="450" w:name="xdx_8BE_zE6wwz2CJMcd"/>
      <w:bookmarkEnd w:id="450"/>
      <w:r>
        <w:rPr>
          <w:rFonts w:ascii="Times New Roman;Times;Serif" w:hAnsi="Times New Roman;Times;Serif"/>
          <w:b w:val="false"/>
          <w:i w:val="false"/>
          <w:caps w:val="false"/>
          <w:smallCaps w:val="false"/>
          <w:sz w:val="20"/>
        </w:rPr>
        <w:t>Schedule of Accrued Expenses</w:t>
      </w:r>
    </w:p>
    <w:tbl>
      <w:tblPr>
        <w:tblW w:w="5940" w:type="dxa"/>
        <w:jc w:val="left"/>
        <w:tblInd w:w="0" w:type="dxa"/>
        <w:tblLayout w:type="fixed"/>
        <w:tblCellMar>
          <w:top w:w="0" w:type="dxa"/>
          <w:left w:w="0" w:type="dxa"/>
          <w:bottom w:w="0" w:type="dxa"/>
          <w:right w:w="0" w:type="dxa"/>
        </w:tblCellMar>
      </w:tblPr>
      <w:tblGrid>
        <w:gridCol w:w="2870"/>
        <w:gridCol w:w="60"/>
        <w:gridCol w:w="271"/>
        <w:gridCol w:w="1084"/>
        <w:gridCol w:w="60"/>
        <w:gridCol w:w="60"/>
        <w:gridCol w:w="292"/>
        <w:gridCol w:w="1168"/>
        <w:gridCol w:w="75"/>
      </w:tblGrid>
      <w:tr>
        <w:trPr/>
        <w:tc>
          <w:tcPr>
            <w:tcW w:w="28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51" w:name="xdx_496_20260731_z1uv6xXyE5ya"/>
            <w:bookmarkEnd w:id="451"/>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July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2" w:name="xdx_496_20260430_zIH9pSmTr3Z3"/>
            <w:bookmarkEnd w:id="452"/>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 2026</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5" w:type="dxa"/>
            <w:gridSpan w:val="6"/>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bookmarkStart w:id="453" w:name="xdx_40E_eus-gaap--OtherEmployeeRelatedLi"/>
            <w:bookmarkEnd w:id="453"/>
          </w:p>
        </w:tc>
      </w:tr>
      <w:tr>
        <w:trPr/>
        <w:tc>
          <w:tcPr>
            <w:tcW w:w="2870" w:type="dxa"/>
            <w:tcBorders/>
            <w:shd w:fill="CCEEFF" w:val="clear"/>
            <w:vAlign w:val="center"/>
          </w:tcPr>
          <w:p>
            <w:pPr>
              <w:pStyle w:val="TableContents"/>
              <w:bidi w:val="0"/>
              <w:spacing w:before="0" w:after="283"/>
              <w:jc w:val="left"/>
              <w:rPr/>
            </w:pPr>
            <w:r>
              <w:rPr/>
              <w:t>Employee incentive payments</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1084" w:type="dxa"/>
            <w:tcBorders/>
            <w:shd w:fill="CCEEFF" w:val="clear"/>
            <w:vAlign w:val="center"/>
          </w:tcPr>
          <w:p>
            <w:pPr>
              <w:pStyle w:val="TableContents"/>
              <w:bidi w:val="0"/>
              <w:spacing w:before="0" w:after="283"/>
              <w:jc w:val="right"/>
              <w:rPr/>
            </w:pPr>
            <w:r>
              <w:rPr/>
              <w:t>1,278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632</w:t>
            </w:r>
          </w:p>
        </w:tc>
        <w:tc>
          <w:tcPr>
            <w:tcW w:w="75" w:type="dxa"/>
            <w:tcBorders/>
            <w:shd w:fill="CCEEFF" w:val="clear"/>
            <w:vAlign w:val="center"/>
          </w:tcPr>
          <w:p>
            <w:pPr>
              <w:pStyle w:val="TableContents"/>
              <w:bidi w:val="0"/>
              <w:spacing w:before="0" w:after="283"/>
              <w:jc w:val="left"/>
              <w:rPr/>
            </w:pPr>
            <w:r>
              <w:rPr/>
              <w:t> </w:t>
            </w:r>
            <w:bookmarkStart w:id="454" w:name="xdx_408_eus-gaap--AccruedSalariesCurrent"/>
            <w:bookmarkEnd w:id="454"/>
          </w:p>
        </w:tc>
      </w:tr>
      <w:tr>
        <w:trPr/>
        <w:tc>
          <w:tcPr>
            <w:tcW w:w="2870" w:type="dxa"/>
            <w:tcBorders/>
            <w:shd w:fill="FFFFFF" w:val="clear"/>
            <w:vAlign w:val="center"/>
          </w:tcPr>
          <w:p>
            <w:pPr>
              <w:pStyle w:val="TableContents"/>
              <w:bidi w:val="0"/>
              <w:spacing w:before="0" w:after="283"/>
              <w:jc w:val="left"/>
              <w:rPr/>
            </w:pPr>
            <w:r>
              <w:rPr/>
              <w:t>Accrued salary and benefits</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407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135</w:t>
            </w:r>
          </w:p>
        </w:tc>
        <w:tc>
          <w:tcPr>
            <w:tcW w:w="75" w:type="dxa"/>
            <w:tcBorders/>
            <w:shd w:fill="FFFFFF" w:val="clear"/>
            <w:vAlign w:val="center"/>
          </w:tcPr>
          <w:p>
            <w:pPr>
              <w:pStyle w:val="TableContents"/>
              <w:bidi w:val="0"/>
              <w:spacing w:before="0" w:after="283"/>
              <w:jc w:val="left"/>
              <w:rPr/>
            </w:pPr>
            <w:r>
              <w:rPr/>
              <w:t> </w:t>
            </w:r>
            <w:bookmarkStart w:id="455" w:name="xdx_404_eus-gaap--AccruedProfessionalFee"/>
            <w:bookmarkEnd w:id="455"/>
          </w:p>
        </w:tc>
      </w:tr>
      <w:tr>
        <w:trPr/>
        <w:tc>
          <w:tcPr>
            <w:tcW w:w="2870" w:type="dxa"/>
            <w:tcBorders/>
            <w:shd w:fill="CCEEFF" w:val="clear"/>
            <w:vAlign w:val="center"/>
          </w:tcPr>
          <w:p>
            <w:pPr>
              <w:pStyle w:val="TableContents"/>
              <w:bidi w:val="0"/>
              <w:spacing w:before="0" w:after="283"/>
              <w:jc w:val="left"/>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456" w:name="xdx_400_ecustom--AccruedProjectCosts_iI_"/>
            <w:bookmarkEnd w:id="456"/>
          </w:p>
        </w:tc>
      </w:tr>
      <w:tr>
        <w:trPr/>
        <w:tc>
          <w:tcPr>
            <w:tcW w:w="2870" w:type="dxa"/>
            <w:tcBorders/>
            <w:shd w:fill="FFFFFF" w:val="clear"/>
            <w:vAlign w:val="center"/>
          </w:tcPr>
          <w:p>
            <w:pPr>
              <w:pStyle w:val="TableContents"/>
              <w:bidi w:val="0"/>
              <w:spacing w:before="0" w:after="283"/>
              <w:jc w:val="left"/>
              <w:rPr/>
            </w:pPr>
            <w:r>
              <w:rPr/>
              <w:t>Accrued project costs</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2,831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3,273</w:t>
            </w:r>
          </w:p>
        </w:tc>
        <w:tc>
          <w:tcPr>
            <w:tcW w:w="75" w:type="dxa"/>
            <w:tcBorders/>
            <w:shd w:fill="FFFFFF" w:val="clear"/>
            <w:vAlign w:val="center"/>
          </w:tcPr>
          <w:p>
            <w:pPr>
              <w:pStyle w:val="TableContents"/>
              <w:bidi w:val="0"/>
              <w:spacing w:before="0" w:after="283"/>
              <w:jc w:val="left"/>
              <w:rPr/>
            </w:pPr>
            <w:r>
              <w:rPr/>
              <w:t> </w:t>
            </w:r>
            <w:bookmarkStart w:id="457" w:name="xdx_407_eus-gaap--InterestPayableCurrent"/>
            <w:bookmarkEnd w:id="457"/>
          </w:p>
        </w:tc>
      </w:tr>
      <w:tr>
        <w:trPr/>
        <w:tc>
          <w:tcPr>
            <w:tcW w:w="2870" w:type="dxa"/>
            <w:tcBorders/>
            <w:shd w:fill="CCEEFF" w:val="clear"/>
            <w:vAlign w:val="center"/>
          </w:tcPr>
          <w:p>
            <w:pPr>
              <w:pStyle w:val="TableContents"/>
              <w:bidi w:val="0"/>
              <w:spacing w:before="0" w:after="283"/>
              <w:jc w:val="left"/>
              <w:rPr/>
            </w:pPr>
            <w:r>
              <w:rPr/>
              <w:t>Accrued interest expense</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146</w:t>
            </w:r>
          </w:p>
        </w:tc>
        <w:tc>
          <w:tcPr>
            <w:tcW w:w="75" w:type="dxa"/>
            <w:tcBorders/>
            <w:shd w:fill="CCEEFF" w:val="clear"/>
            <w:vAlign w:val="center"/>
          </w:tcPr>
          <w:p>
            <w:pPr>
              <w:pStyle w:val="TableContents"/>
              <w:bidi w:val="0"/>
              <w:spacing w:before="0" w:after="283"/>
              <w:jc w:val="left"/>
              <w:rPr/>
            </w:pPr>
            <w:r>
              <w:rPr/>
              <w:t> </w:t>
            </w:r>
            <w:bookmarkStart w:id="458" w:name="xdx_40D_eus-gaap--OtherAccruedLiabilitie"/>
            <w:bookmarkEnd w:id="458"/>
          </w:p>
        </w:tc>
      </w:tr>
      <w:tr>
        <w:trPr/>
        <w:tc>
          <w:tcPr>
            <w:tcW w:w="287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46</w:t>
            </w:r>
          </w:p>
        </w:tc>
        <w:tc>
          <w:tcPr>
            <w:tcW w:w="75" w:type="dxa"/>
            <w:tcBorders/>
            <w:shd w:fill="FFFFFF" w:val="clear"/>
            <w:vAlign w:val="center"/>
          </w:tcPr>
          <w:p>
            <w:pPr>
              <w:pStyle w:val="TableContents"/>
              <w:bidi w:val="0"/>
              <w:spacing w:before="0" w:after="283"/>
              <w:jc w:val="left"/>
              <w:rPr/>
            </w:pPr>
            <w:r>
              <w:rPr/>
              <w:t> </w:t>
            </w:r>
            <w:bookmarkStart w:id="459" w:name="xdx_409_eus-gaap--AccruedLiabilitiesCurr"/>
            <w:bookmarkEnd w:id="459"/>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total</w:t>
            </w:r>
          </w:p>
        </w:tc>
        <w:tc>
          <w:tcPr>
            <w:tcW w:w="60" w:type="dxa"/>
            <w:tcBorders/>
            <w:shd w:fill="CCEEFF" w:val="clear"/>
            <w:vAlign w:val="center"/>
          </w:tcPr>
          <w:p>
            <w:pPr>
              <w:pStyle w:val="TableContents"/>
              <w:bidi w:val="0"/>
              <w:spacing w:before="0" w:after="283"/>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84" w:type="dxa"/>
            <w:tcBorders>
              <w:bottom w:val="double" w:sz="6" w:space="0" w:color="000000"/>
            </w:tcBorders>
            <w:shd w:fill="CCEEFF" w:val="clear"/>
            <w:tcMar>
              <w:bottom w:w="28" w:type="dxa"/>
            </w:tcMar>
            <w:vAlign w:val="center"/>
          </w:tcPr>
          <w:p>
            <w:pPr>
              <w:pStyle w:val="TableContents"/>
              <w:bidi w:val="0"/>
              <w:spacing w:before="0" w:after="283"/>
              <w:jc w:val="right"/>
              <w:rPr/>
            </w:pPr>
            <w:r>
              <w:rPr/>
              <w:t>4,608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pPr>
            <w:r>
              <w:rPr/>
              <w:t>4,232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60" w:name="xdx_8AC_z038hBcO6662"/>
      <w:bookmarkEnd w:id="46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1" w:name="xdx_80C_eus-gaap--DisclosureOfCompensati"/>
      <w:bookmarkEnd w:id="461"/>
      <w:r>
        <w:rPr>
          <w:rFonts w:ascii="Times New Roman;Times;Serif" w:hAnsi="Times New Roman;Times;Serif"/>
          <w:b/>
          <w:i w:val="false"/>
          <w:caps w:val="false"/>
          <w:smallCaps w:val="false"/>
          <w:sz w:val="20"/>
        </w:rPr>
        <w:t xml:space="preserve">(11) </w:t>
      </w:r>
      <w:bookmarkStart w:id="462" w:name="xdx_82E_zitbqnRKfVSe"/>
      <w:bookmarkEnd w:id="462"/>
      <w:r>
        <w:rPr>
          <w:rFonts w:ascii="Times New Roman;Times;Serif" w:hAnsi="Times New Roman;Times;Serif"/>
          <w:b/>
          <w:i w:val="false"/>
          <w:caps w:val="false"/>
          <w:smallCaps w:val="false"/>
          <w:sz w:val="20"/>
        </w:rPr>
        <w:t>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2015, upon approval by the Company’s shareholders, the Company’s 2015 Omnibus Incentive Plan (the “2015 Plan”) became effective. A total of </w:t>
      </w:r>
      <w:bookmarkStart w:id="463" w:name="xdx_900_eus-gaap--ShareBasedCompensation"/>
      <w:bookmarkEnd w:id="463"/>
      <w:r>
        <w:rPr>
          <w:rFonts w:ascii="Times New Roman;Times;Serif" w:hAnsi="Times New Roman;Times;Serif"/>
          <w:b w:val="false"/>
          <w:i w:val="false"/>
          <w:caps w:val="false"/>
          <w:smallCaps w:val="false"/>
          <w:sz w:val="20"/>
        </w:rPr>
        <w:t xml:space="preserve">44,402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If any award under the 2006 Stock Incentive Plan or 2015 Plan expires, is cancelled, terminates unexercised or is forfeited, those shares become again available for grant under the 2015 Plan. Most recently in January 2026, the shareholders approved an amendment and restatement of the 2015 Plan to, among other things, provide an aggregate increase to the 2015 Plan of </w:t>
      </w:r>
      <w:bookmarkStart w:id="464" w:name="xdx_900_eus-gaap--ShareBasedCompensation"/>
      <w:bookmarkEnd w:id="464"/>
      <w:r>
        <w:rPr>
          <w:rFonts w:ascii="Times New Roman;Times;Serif" w:hAnsi="Times New Roman;Times;Serif"/>
          <w:b w:val="false"/>
          <w:i w:val="false"/>
          <w:caps w:val="false"/>
          <w:smallCaps w:val="false"/>
          <w:sz w:val="20"/>
        </w:rPr>
        <w:t xml:space="preserve">166,666 shares resulting in total shares authorized for issuance of </w:t>
      </w:r>
      <w:bookmarkStart w:id="465" w:name="xdx_909_eus-gaap--ShareBasedCompensation"/>
      <w:bookmarkEnd w:id="465"/>
      <w:r>
        <w:rPr>
          <w:rFonts w:ascii="Times New Roman;Times;Serif" w:hAnsi="Times New Roman;Times;Serif"/>
          <w:b w:val="false"/>
          <w:i w:val="false"/>
          <w:caps w:val="false"/>
          <w:smallCaps w:val="false"/>
          <w:sz w:val="20"/>
        </w:rPr>
        <w:t xml:space="preserve">1,076,068 as of July 31, 2026 based on </w:t>
      </w:r>
      <w:bookmarkStart w:id="466" w:name="xdx_90A_eus-gaap--ShareBasedCompensation"/>
      <w:bookmarkEnd w:id="466"/>
      <w:r>
        <w:rPr>
          <w:rFonts w:ascii="Times New Roman;Times;Serif" w:hAnsi="Times New Roman;Times;Serif"/>
          <w:b w:val="false"/>
          <w:i w:val="false"/>
          <w:caps w:val="false"/>
          <w:smallCaps w:val="false"/>
          <w:sz w:val="20"/>
        </w:rPr>
        <w:t>909,402 available before the amendment. The 2015 Plan will now terminate in January 2035, but is subject to earlier termination as provided in the 2015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18, 2018, the Company’s Board of Directors adopted the Company’s Employment Inducement Incentive Award Plan (the “2018 Inducement Plan”) pursuant to which the Company reserved </w:t>
      </w:r>
      <w:bookmarkStart w:id="467" w:name="xdx_90F_eus-gaap--CommonStockCapitalShar"/>
      <w:bookmarkEnd w:id="467"/>
      <w:r>
        <w:rPr>
          <w:rFonts w:ascii="Times New Roman;Times;Serif" w:hAnsi="Times New Roman;Times;Serif"/>
          <w:b w:val="false"/>
          <w:i w:val="false"/>
          <w:caps w:val="false"/>
          <w:smallCaps w:val="false"/>
          <w:sz w:val="20"/>
        </w:rPr>
        <w:t xml:space="preserve">834 shares of common stock for issuance under the Inducement Plan in accordance with Rule 711(a) of the NYSE American Company Guide. On February 9, 2022, the 2018 Inducement Plan was amended to increase the authorized shares by </w:t>
      </w:r>
      <w:bookmarkStart w:id="468" w:name="xdx_90E_eus-gaap--ShareBasedCompensation"/>
      <w:bookmarkEnd w:id="468"/>
      <w:r>
        <w:rPr>
          <w:rFonts w:ascii="Times New Roman;Times;Serif" w:hAnsi="Times New Roman;Times;Serif"/>
          <w:b w:val="false"/>
          <w:i w:val="false"/>
          <w:caps w:val="false"/>
          <w:smallCaps w:val="false"/>
          <w:sz w:val="20"/>
        </w:rPr>
        <w:t xml:space="preserve">8,333 to </w:t>
      </w:r>
      <w:bookmarkStart w:id="469" w:name="xdx_906_eus-gaap--ShareBasedCompensation"/>
      <w:bookmarkEnd w:id="469"/>
      <w:r>
        <w:rPr>
          <w:rFonts w:ascii="Times New Roman;Times;Serif" w:hAnsi="Times New Roman;Times;Serif"/>
          <w:b w:val="false"/>
          <w:i w:val="false"/>
          <w:caps w:val="false"/>
          <w:smallCaps w:val="false"/>
          <w:sz w:val="20"/>
        </w:rPr>
        <w:t xml:space="preserve">9,167. On June 3, 2025, the 2018 Inducement Plan was further amended and restated to increase the authorized shares by </w:t>
      </w:r>
      <w:bookmarkStart w:id="470" w:name="xdx_907_eus-gaap--ShareBasedCompensation"/>
      <w:bookmarkEnd w:id="470"/>
      <w:r>
        <w:rPr>
          <w:rFonts w:ascii="Times New Roman;Times;Serif" w:hAnsi="Times New Roman;Times;Serif"/>
          <w:b w:val="false"/>
          <w:i w:val="false"/>
          <w:caps w:val="false"/>
          <w:smallCaps w:val="false"/>
          <w:sz w:val="20"/>
        </w:rPr>
        <w:t xml:space="preserve">23,833 to </w:t>
      </w:r>
      <w:bookmarkStart w:id="471" w:name="xdx_90E_eus-gaap--ShareBasedCompensation"/>
      <w:bookmarkEnd w:id="471"/>
      <w:r>
        <w:rPr>
          <w:rFonts w:ascii="Times New Roman;Times;Serif" w:hAnsi="Times New Roman;Times;Serif"/>
          <w:b w:val="false"/>
          <w:i w:val="false"/>
          <w:caps w:val="false"/>
          <w:smallCaps w:val="false"/>
          <w:sz w:val="20"/>
        </w:rPr>
        <w:t xml:space="preserve">33,000. On January 27, 2026, the 2018 Inducement Plan was further amended to increase the authorized shares by </w:t>
      </w:r>
      <w:bookmarkStart w:id="472" w:name="xdx_903_eus-gaap--ShareBasedCompensation"/>
      <w:bookmarkEnd w:id="472"/>
      <w:r>
        <w:rPr>
          <w:rFonts w:ascii="Times New Roman;Times;Serif" w:hAnsi="Times New Roman;Times;Serif"/>
          <w:b w:val="false"/>
          <w:i w:val="false"/>
          <w:caps w:val="false"/>
          <w:smallCaps w:val="false"/>
          <w:sz w:val="20"/>
        </w:rPr>
        <w:t xml:space="preserve">33,334 to </w:t>
      </w:r>
      <w:bookmarkStart w:id="473" w:name="xdx_90F_eus-gaap--ShareBasedCompensation"/>
      <w:bookmarkEnd w:id="473"/>
      <w:r>
        <w:rPr>
          <w:rFonts w:ascii="Times New Roman;Times;Serif" w:hAnsi="Times New Roman;Times;Serif"/>
          <w:b w:val="false"/>
          <w:i w:val="false"/>
          <w:caps w:val="false"/>
          <w:smallCaps w:val="false"/>
          <w:sz w:val="20"/>
        </w:rPr>
        <w:t>66,334.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estimates the fair value of each stock option award granted with service-based vesting requirements, using the Black-Scholes option pricing model, assuming no dividends, and using weighted average valuation assumptions. The risk-free rate is based on the U.S. Treasury yield curve in effect at the time of the grant commensurate with the expected life of the award. The expected life (estimated period of time outstanding) of the stock options granted was estimated using the “simplified” method as permitted by the SEC’s Staff Accounting Bulletin No. 110, </w:t>
      </w:r>
      <w:r>
        <w:rPr>
          <w:rFonts w:ascii="Times New Roman;Times;Serif" w:hAnsi="Times New Roman;Times;Serif"/>
          <w:b w:val="false"/>
          <w:i/>
          <w:caps w:val="false"/>
          <w:smallCaps w:val="false"/>
          <w:sz w:val="20"/>
        </w:rPr>
        <w:t>Share-Based Payment.</w:t>
      </w:r>
      <w:r>
        <w:rPr>
          <w:rFonts w:ascii="Times New Roman;Times;Serif" w:hAnsi="Times New Roman;Times;Serif"/>
          <w:b w:val="false"/>
          <w:i w:val="false"/>
          <w:caps w:val="false"/>
          <w:smallCaps w:val="false"/>
          <w:sz w:val="20"/>
        </w:rPr>
        <w:t xml:space="preserve"> Expected volatility is based on the Company’s historical volatility over the expected life of the stock option granted. The Company did not grant any stock options during either the three months ended July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74" w:name="xdx_895_eus-gaap--ScheduleOfShareBasedCo"/>
      <w:bookmarkEnd w:id="474"/>
      <w:r>
        <w:rPr>
          <w:rFonts w:ascii="Times New Roman;Times;Serif" w:hAnsi="Times New Roman;Times;Serif"/>
          <w:b w:val="false"/>
          <w:i w:val="false"/>
          <w:caps w:val="false"/>
          <w:smallCaps w:val="false"/>
          <w:sz w:val="20"/>
        </w:rPr>
        <w:t>A summary of stock options under the stock incentive plans is detailed in the following table.</w:t>
      </w:r>
    </w:p>
    <w:p>
      <w:pPr>
        <w:pStyle w:val="TextBody"/>
        <w:bidi w:val="0"/>
        <w:spacing w:before="0" w:after="0"/>
        <w:ind w:left="0" w:right="0" w:hanging="0"/>
        <w:jc w:val="both"/>
        <w:rPr>
          <w:caps w:val="false"/>
          <w:smallCaps w:val="false"/>
        </w:rPr>
      </w:pPr>
      <w:r>
        <w:rPr>
          <w:caps w:val="false"/>
          <w:smallCaps w:val="false"/>
        </w:rPr>
        <w:t> </w:t>
      </w:r>
      <w:bookmarkStart w:id="475" w:name="xdx_8B4_zdN7iNo56icf"/>
      <w:bookmarkEnd w:id="475"/>
      <w:r>
        <w:rPr>
          <w:rFonts w:ascii="Times New Roman;Times;Serif" w:hAnsi="Times New Roman;Times;Serif"/>
          <w:b w:val="false"/>
          <w:i w:val="false"/>
          <w:caps w:val="false"/>
          <w:smallCaps w:val="false"/>
          <w:sz w:val="20"/>
        </w:rPr>
        <w:t>Schedule of Stock Option Activity</w:t>
      </w:r>
    </w:p>
    <w:tbl>
      <w:tblPr>
        <w:tblW w:w="6834" w:type="dxa"/>
        <w:jc w:val="left"/>
        <w:tblInd w:w="0" w:type="dxa"/>
        <w:tblLayout w:type="fixed"/>
        <w:tblCellMar>
          <w:top w:w="0" w:type="dxa"/>
          <w:left w:w="0" w:type="dxa"/>
          <w:bottom w:w="0" w:type="dxa"/>
          <w:right w:w="0" w:type="dxa"/>
        </w:tblCellMar>
      </w:tblPr>
      <w:tblGrid>
        <w:gridCol w:w="3155"/>
        <w:gridCol w:w="60"/>
        <w:gridCol w:w="79"/>
        <w:gridCol w:w="901"/>
        <w:gridCol w:w="95"/>
        <w:gridCol w:w="60"/>
        <w:gridCol w:w="212"/>
        <w:gridCol w:w="1037"/>
        <w:gridCol w:w="60"/>
        <w:gridCol w:w="60"/>
        <w:gridCol w:w="164"/>
        <w:gridCol w:w="876"/>
        <w:gridCol w:w="75"/>
      </w:tblGrid>
      <w:tr>
        <w:trPr/>
        <w:tc>
          <w:tcPr>
            <w:tcW w:w="3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Years)</w:t>
            </w:r>
          </w:p>
        </w:tc>
        <w:tc>
          <w:tcPr>
            <w:tcW w:w="75" w:type="dxa"/>
            <w:tcBorders/>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Outstanding as of April 30, 2026</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476" w:name="xdx_98A_eus-gaap--ShareBasedCompensation"/>
            <w:bookmarkEnd w:id="476"/>
          </w:p>
        </w:tc>
        <w:tc>
          <w:tcPr>
            <w:tcW w:w="901" w:type="dxa"/>
            <w:tcBorders/>
            <w:shd w:fill="CCEEFF" w:val="clear"/>
            <w:vAlign w:val="center"/>
          </w:tcPr>
          <w:p>
            <w:pPr>
              <w:pStyle w:val="TableContents"/>
              <w:bidi w:val="0"/>
              <w:spacing w:before="0" w:after="283"/>
              <w:jc w:val="right"/>
              <w:rPr/>
            </w:pPr>
            <w:r>
              <w:rPr/>
              <w:t>13,206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bookmarkStart w:id="477" w:name="xdx_984_eus-gaap--ShareBasedCompensation"/>
            <w:bookmarkEnd w:id="477"/>
          </w:p>
        </w:tc>
        <w:tc>
          <w:tcPr>
            <w:tcW w:w="1037" w:type="dxa"/>
            <w:tcBorders/>
            <w:shd w:fill="CCEEFF" w:val="clear"/>
            <w:vAlign w:val="center"/>
          </w:tcPr>
          <w:p>
            <w:pPr>
              <w:pStyle w:val="TableContents"/>
              <w:bidi w:val="0"/>
              <w:spacing w:before="0" w:after="283"/>
              <w:jc w:val="right"/>
              <w:rPr/>
            </w:pPr>
            <w:r>
              <w:rPr/>
              <w:t>54.90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bookmarkStart w:id="478" w:name="xdx_904_eus-gaap--SharebasedCompensation"/>
            <w:bookmarkEnd w:id="478"/>
            <w:r>
              <w:rPr/>
              <w:t>5.6</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bookmarkStart w:id="479" w:name="xdx_988_eus-gaap--ShareBasedCompensation"/>
            <w:bookmarkEnd w:id="479"/>
          </w:p>
        </w:tc>
        <w:tc>
          <w:tcPr>
            <w:tcW w:w="90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w:t>
            </w:r>
            <w:bookmarkStart w:id="480" w:name="xdx_983_eus-gaap--ShareBasedCompensation"/>
            <w:bookmarkEnd w:id="480"/>
          </w:p>
        </w:tc>
        <w:tc>
          <w:tcPr>
            <w:tcW w:w="10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bookmarkStart w:id="481" w:name="xdx_985_eus-gaap--StockIssuedDuringPerio"/>
            <w:bookmarkEnd w:id="481"/>
          </w:p>
        </w:tc>
        <w:tc>
          <w:tcPr>
            <w:tcW w:w="9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bookmarkStart w:id="482" w:name="xdx_982_eus-gaap--ShareBasedCompensation"/>
            <w:bookmarkEnd w:id="482"/>
          </w:p>
        </w:tc>
        <w:tc>
          <w:tcPr>
            <w:tcW w:w="10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Cancelled/forfeited</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83" w:name="xdx_98A_eus-gaap--ShareBasedCompensation"/>
            <w:bookmarkEnd w:id="483"/>
          </w:p>
        </w:tc>
        <w:tc>
          <w:tcPr>
            <w:tcW w:w="901" w:type="dxa"/>
            <w:tcBorders>
              <w:bottom w:val="single" w:sz="8" w:space="0" w:color="000000"/>
            </w:tcBorders>
            <w:shd w:fill="FFFFFF" w:val="clear"/>
            <w:tcMar>
              <w:bottom w:w="28" w:type="dxa"/>
            </w:tcMar>
            <w:vAlign w:val="center"/>
          </w:tcPr>
          <w:p>
            <w:pPr>
              <w:pStyle w:val="TableContents"/>
              <w:bidi w:val="0"/>
              <w:spacing w:before="0" w:after="283"/>
              <w:jc w:val="right"/>
              <w:rPr/>
            </w:pPr>
            <w:r>
              <w:rPr/>
              <w:t>(248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484" w:name="xdx_98E_eus-gaap--ShareBasedCompensation"/>
            <w:bookmarkEnd w:id="484"/>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pPr>
            <w:r>
              <w:rPr/>
              <w:t>133.50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Outstanding as of July 31, 2026</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85" w:name="xdx_983_eus-gaap--ShareBasedCompensation"/>
            <w:bookmarkEnd w:id="485"/>
          </w:p>
        </w:tc>
        <w:tc>
          <w:tcPr>
            <w:tcW w:w="901" w:type="dxa"/>
            <w:tcBorders>
              <w:bottom w:val="double" w:sz="6" w:space="0" w:color="000000"/>
            </w:tcBorders>
            <w:shd w:fill="CCEEFF" w:val="clear"/>
            <w:tcMar>
              <w:bottom w:w="28" w:type="dxa"/>
            </w:tcMar>
            <w:vAlign w:val="center"/>
          </w:tcPr>
          <w:p>
            <w:pPr>
              <w:pStyle w:val="TableContents"/>
              <w:bidi w:val="0"/>
              <w:spacing w:before="0" w:after="283"/>
              <w:jc w:val="right"/>
              <w:rPr/>
            </w:pPr>
            <w:r>
              <w:rPr/>
              <w:t>12,958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86" w:name="xdx_980_eus-gaap--ShareBasedCompensation"/>
            <w:bookmarkEnd w:id="486"/>
          </w:p>
        </w:tc>
        <w:tc>
          <w:tcPr>
            <w:tcW w:w="1037" w:type="dxa"/>
            <w:tcBorders>
              <w:bottom w:val="double" w:sz="6" w:space="0" w:color="000000"/>
            </w:tcBorders>
            <w:shd w:fill="CCEEFF" w:val="clear"/>
            <w:tcMar>
              <w:bottom w:w="28" w:type="dxa"/>
            </w:tcMar>
            <w:vAlign w:val="center"/>
          </w:tcPr>
          <w:p>
            <w:pPr>
              <w:pStyle w:val="TableContents"/>
              <w:bidi w:val="0"/>
              <w:spacing w:before="0" w:after="283"/>
              <w:jc w:val="right"/>
              <w:rPr/>
            </w:pPr>
            <w:r>
              <w:rPr/>
              <w:t>53.40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6"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487" w:name="xdx_90D_eus-gaap--SharebasedCompensation"/>
            <w:bookmarkEnd w:id="487"/>
            <w:r>
              <w:rPr/>
              <w:t>5.4</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Exercisable as of July 31, 2026</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88" w:name="xdx_98F_eus-gaap--ShareBasedCompensation"/>
            <w:bookmarkEnd w:id="488"/>
          </w:p>
        </w:tc>
        <w:tc>
          <w:tcPr>
            <w:tcW w:w="901" w:type="dxa"/>
            <w:tcBorders>
              <w:bottom w:val="double" w:sz="6" w:space="0" w:color="000000"/>
            </w:tcBorders>
            <w:shd w:fill="FFFFFF" w:val="clear"/>
            <w:tcMar>
              <w:bottom w:w="28" w:type="dxa"/>
            </w:tcMar>
            <w:vAlign w:val="center"/>
          </w:tcPr>
          <w:p>
            <w:pPr>
              <w:pStyle w:val="TableContents"/>
              <w:bidi w:val="0"/>
              <w:spacing w:before="0" w:after="283"/>
              <w:jc w:val="right"/>
              <w:rPr/>
            </w:pPr>
            <w:r>
              <w:rPr/>
              <w:t>12,958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89" w:name="xdx_98A_eus-gaap--ShareBasedCompensation"/>
            <w:bookmarkEnd w:id="489"/>
          </w:p>
        </w:tc>
        <w:tc>
          <w:tcPr>
            <w:tcW w:w="1037" w:type="dxa"/>
            <w:tcBorders>
              <w:bottom w:val="double" w:sz="6" w:space="0" w:color="000000"/>
            </w:tcBorders>
            <w:shd w:fill="FFFFFF" w:val="clear"/>
            <w:tcMar>
              <w:bottom w:w="28" w:type="dxa"/>
            </w:tcMar>
            <w:vAlign w:val="center"/>
          </w:tcPr>
          <w:p>
            <w:pPr>
              <w:pStyle w:val="TableContents"/>
              <w:bidi w:val="0"/>
              <w:spacing w:before="0" w:after="283"/>
              <w:jc w:val="right"/>
              <w:rPr/>
            </w:pPr>
            <w:r>
              <w:rPr/>
              <w:t>53.40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6"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490" w:name="xdx_90A_eus-gaap--SharebasedCompensation"/>
            <w:bookmarkEnd w:id="490"/>
            <w:r>
              <w:rPr/>
              <w:t>5.4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91" w:name="xdx_8A8_zd0YAdg9lbpg"/>
      <w:bookmarkEnd w:id="49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July 31, 2026, the total intrinsic value of outstanding and exercisable options was approximately </w:t>
      </w:r>
      <w:bookmarkStart w:id="492" w:name="xdx_90C_eus-gaap--SharebasedCompensation"/>
      <w:bookmarkEnd w:id="492"/>
      <w:r>
        <w:rPr>
          <w:rFonts w:ascii="Times New Roman;Times;Serif" w:hAnsi="Times New Roman;Times;Serif"/>
          <w:b w:val="false"/>
          <w:i w:val="false"/>
          <w:caps w:val="false"/>
          <w:smallCaps w:val="false"/>
          <w:sz w:val="20"/>
        </w:rPr>
        <w:t xml:space="preserve">zero. As of July 31, 2026, no options were unvested. The outstanding options had an intrinsic value of </w:t>
      </w:r>
      <w:bookmarkStart w:id="493" w:name="xdx_90C_eus-gaap--ShareBasedCompensation"/>
      <w:bookmarkEnd w:id="493"/>
      <w:r>
        <w:rPr>
          <w:rFonts w:ascii="Times New Roman;Times;Serif" w:hAnsi="Times New Roman;Times;Serif"/>
          <w:b w:val="false"/>
          <w:i w:val="false"/>
          <w:caps w:val="false"/>
          <w:smallCaps w:val="false"/>
          <w:sz w:val="20"/>
        </w:rPr>
        <w:t xml:space="preserve">zero and a weighted average remaining contractual term of </w:t>
      </w:r>
      <w:bookmarkStart w:id="494" w:name="xdx_907_eus-gaap--SharebasedCompensation"/>
      <w:bookmarkEnd w:id="494"/>
      <w:r>
        <w:rPr>
          <w:rFonts w:ascii="Times New Roman;Times;Serif" w:hAnsi="Times New Roman;Times;Serif"/>
          <w:b w:val="false"/>
          <w:i w:val="false"/>
          <w:caps w:val="false"/>
          <w:smallCaps w:val="false"/>
          <w:sz w:val="20"/>
        </w:rPr>
        <w:t xml:space="preserve">5.4 years. There was approximately </w:t>
      </w:r>
      <w:bookmarkStart w:id="495" w:name="xdx_900_eus-gaap--AllocatedShareBasedCom"/>
      <w:bookmarkEnd w:id="495"/>
      <w:r>
        <w:rPr>
          <w:rFonts w:ascii="Times New Roman;Times;Serif" w:hAnsi="Times New Roman;Times;Serif"/>
          <w:b w:val="false"/>
          <w:i w:val="false"/>
          <w:caps w:val="false"/>
          <w:smallCaps w:val="false"/>
          <w:sz w:val="20"/>
        </w:rPr>
        <w:t>zero and $</w:t>
      </w:r>
      <w:bookmarkStart w:id="496" w:name="xdx_90D_eus-gaap--AllocatedShareBasedCom"/>
      <w:bookmarkEnd w:id="496"/>
      <w:r>
        <w:rPr>
          <w:rFonts w:ascii="Times New Roman;Times;Serif" w:hAnsi="Times New Roman;Times;Serif"/>
          <w:b w:val="false"/>
          <w:i w:val="false"/>
          <w:caps w:val="false"/>
          <w:smallCaps w:val="false"/>
          <w:sz w:val="20"/>
        </w:rPr>
        <w:t xml:space="preserve">9,000 of total recognized compensation cost related to stock options during the three months ended July 31, 2026 and 2025, respectively. As of July 31, 2026, there was </w:t>
      </w:r>
      <w:bookmarkStart w:id="497" w:name="xdx_901_eus-gaap--EmployeeServiceShareBa"/>
      <w:bookmarkEnd w:id="497"/>
      <w:r>
        <w:rPr>
          <w:rFonts w:ascii="Times New Roman;Times;Serif" w:hAnsi="Times New Roman;Times;Serif"/>
          <w:b w:val="false"/>
          <w:i w:val="false"/>
          <w:caps w:val="false"/>
          <w:smallCaps w:val="false"/>
          <w:sz w:val="20"/>
        </w:rPr>
        <w:t>no unrecognized compensation cost related to unvested stock options granted under the plans.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98" w:name="xdx_89C_eus-gaap--ShareBasedCompensation"/>
      <w:bookmarkEnd w:id="498"/>
      <w:r>
        <w:rPr>
          <w:rFonts w:ascii="Times New Roman;Times;Serif" w:hAnsi="Times New Roman;Times;Serif"/>
          <w:b w:val="false"/>
          <w:i w:val="false"/>
          <w:caps w:val="false"/>
          <w:smallCaps w:val="false"/>
          <w:sz w:val="20"/>
        </w:rPr>
        <w:t>A summary of performance stock units (“PSUs”) under our Stock Incentive Plans is detailed in the following table.</w:t>
      </w:r>
    </w:p>
    <w:p>
      <w:pPr>
        <w:pStyle w:val="TextBody"/>
        <w:bidi w:val="0"/>
        <w:spacing w:before="0" w:after="0"/>
        <w:ind w:left="0" w:right="0" w:hanging="0"/>
        <w:jc w:val="both"/>
        <w:rPr>
          <w:caps w:val="false"/>
          <w:smallCaps w:val="false"/>
        </w:rPr>
      </w:pPr>
      <w:r>
        <w:rPr>
          <w:caps w:val="false"/>
          <w:smallCaps w:val="false"/>
        </w:rPr>
        <w:t> </w:t>
      </w:r>
      <w:bookmarkStart w:id="499" w:name="xdx_8B7_z0iYBsHWAwij"/>
      <w:bookmarkEnd w:id="499"/>
      <w:r>
        <w:rPr>
          <w:rFonts w:ascii="Times New Roman;Times;Serif" w:hAnsi="Times New Roman;Times;Serif"/>
          <w:b w:val="false"/>
          <w:i w:val="false"/>
          <w:caps w:val="false"/>
          <w:smallCaps w:val="false"/>
          <w:sz w:val="20"/>
        </w:rPr>
        <w:t>Schedule of Performance Stock Units</w:t>
      </w:r>
    </w:p>
    <w:tbl>
      <w:tblPr>
        <w:tblW w:w="5639" w:type="dxa"/>
        <w:jc w:val="left"/>
        <w:tblInd w:w="0" w:type="dxa"/>
        <w:tblLayout w:type="fixed"/>
        <w:tblCellMar>
          <w:top w:w="0" w:type="dxa"/>
          <w:left w:w="0" w:type="dxa"/>
          <w:bottom w:w="0" w:type="dxa"/>
          <w:right w:w="0" w:type="dxa"/>
        </w:tblCellMar>
      </w:tblPr>
      <w:tblGrid>
        <w:gridCol w:w="2870"/>
        <w:gridCol w:w="60"/>
        <w:gridCol w:w="88"/>
        <w:gridCol w:w="831"/>
        <w:gridCol w:w="60"/>
        <w:gridCol w:w="60"/>
        <w:gridCol w:w="319"/>
        <w:gridCol w:w="1276"/>
        <w:gridCol w:w="75"/>
      </w:tblGrid>
      <w:tr>
        <w:trPr/>
        <w:tc>
          <w:tcPr>
            <w:tcW w:w="28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per Share</w:t>
            </w:r>
          </w:p>
        </w:tc>
        <w:tc>
          <w:tcPr>
            <w:tcW w:w="7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pPr>
            <w:r>
              <w:rPr/>
              <w:t>Outstanding at April 30, 2026</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bookmarkStart w:id="500" w:name="xdx_987_eus-gaap--ShareBasedCompensation"/>
            <w:bookmarkEnd w:id="500"/>
          </w:p>
        </w:tc>
        <w:tc>
          <w:tcPr>
            <w:tcW w:w="831"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w:t>
            </w:r>
            <w:bookmarkStart w:id="501" w:name="xdx_98A_eus-gaap--ShareBasedCompensation"/>
            <w:bookmarkEnd w:id="501"/>
          </w:p>
        </w:tc>
        <w:tc>
          <w:tcPr>
            <w:tcW w:w="1276" w:type="dxa"/>
            <w:tcBorders/>
            <w:shd w:fill="CCEEFF" w:val="clear"/>
            <w:vAlign w:val="center"/>
          </w:tcPr>
          <w:p>
            <w:pPr>
              <w:pStyle w:val="TableContents"/>
              <w:bidi w:val="0"/>
              <w:spacing w:before="0" w:after="283"/>
              <w:jc w:val="right"/>
              <w:rPr/>
            </w:pPr>
            <w:r>
              <w:rPr/>
              <w:t>16.80</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bookmarkStart w:id="502" w:name="xdx_982_eus-gaap--ShareBasedCompensation"/>
            <w:bookmarkEnd w:id="502"/>
          </w:p>
        </w:tc>
        <w:tc>
          <w:tcPr>
            <w:tcW w:w="83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w:t>
            </w:r>
            <w:bookmarkStart w:id="503" w:name="xdx_981_eus-gaap--ShareBasedCompensation"/>
            <w:bookmarkEnd w:id="503"/>
          </w:p>
        </w:tc>
        <w:tc>
          <w:tcPr>
            <w:tcW w:w="127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pPr>
            <w:r>
              <w:rPr/>
              <w:t>Vested and issued</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bookmarkStart w:id="504" w:name="xdx_98E_eus-gaap--ShareBasedCompensation"/>
            <w:bookmarkEnd w:id="504"/>
          </w:p>
        </w:tc>
        <w:tc>
          <w:tcPr>
            <w:tcW w:w="83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w:t>
            </w:r>
            <w:bookmarkStart w:id="505" w:name="xdx_98C_eus-gaap--ShareBasedCompensation"/>
            <w:bookmarkEnd w:id="505"/>
          </w:p>
        </w:tc>
        <w:tc>
          <w:tcPr>
            <w:tcW w:w="127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Cancelled/forfeited</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06" w:name="xdx_980_eus-gaap--ShareBasedCompensation"/>
            <w:bookmarkEnd w:id="506"/>
          </w:p>
        </w:tc>
        <w:tc>
          <w:tcPr>
            <w:tcW w:w="83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507" w:name="xdx_985_eus-gaap--ShareBasedCompensation"/>
            <w:bookmarkEnd w:id="507"/>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pPr>
            <w:r>
              <w:rPr/>
              <w:t>Outstanding at July 31, 2026</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08" w:name="xdx_988_eus-gaap--ShareBasedCompensation"/>
            <w:bookmarkEnd w:id="508"/>
          </w:p>
        </w:tc>
        <w:tc>
          <w:tcPr>
            <w:tcW w:w="831" w:type="dxa"/>
            <w:tcBorders>
              <w:bottom w:val="double" w:sz="6" w:space="0" w:color="000000"/>
            </w:tcBorders>
            <w:shd w:fill="CCEEFF" w:val="clear"/>
            <w:tcMar>
              <w:bottom w:w="28" w:type="dxa"/>
            </w:tcM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09" w:name="xdx_98D_eus-gaap--ShareBasedCompensation"/>
            <w:bookmarkEnd w:id="509"/>
          </w:p>
        </w:tc>
        <w:tc>
          <w:tcPr>
            <w:tcW w:w="1276" w:type="dxa"/>
            <w:tcBorders>
              <w:bottom w:val="double" w:sz="6" w:space="0" w:color="000000"/>
            </w:tcBorders>
            <w:shd w:fill="CCEEFF" w:val="clear"/>
            <w:tcMar>
              <w:bottom w:w="28" w:type="dxa"/>
            </w:tcMar>
            <w:vAlign w:val="center"/>
          </w:tcPr>
          <w:p>
            <w:pPr>
              <w:pStyle w:val="TableContents"/>
              <w:bidi w:val="0"/>
              <w:spacing w:before="0" w:after="283"/>
              <w:jc w:val="right"/>
              <w:rPr/>
            </w:pPr>
            <w:r>
              <w:rPr/>
              <w:t>16.80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10" w:name="xdx_8A6_zg8AUhVLDq2g"/>
      <w:bookmarkEnd w:id="51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approximately $</w:t>
      </w:r>
      <w:bookmarkStart w:id="511" w:name="xdx_900_eus-gaap--AllocatedShareBasedCom"/>
      <w:bookmarkEnd w:id="511"/>
      <w:r>
        <w:rPr>
          <w:rFonts w:ascii="Times New Roman;Times;Serif" w:hAnsi="Times New Roman;Times;Serif"/>
          <w:b w:val="false"/>
          <w:i w:val="false"/>
          <w:caps w:val="false"/>
          <w:smallCaps w:val="false"/>
          <w:sz w:val="20"/>
        </w:rPr>
        <w:t>10,000 and $</w:t>
      </w:r>
      <w:bookmarkStart w:id="512" w:name="xdx_90C_eus-gaap--AllocatedShareBasedCom"/>
      <w:bookmarkEnd w:id="512"/>
      <w:r>
        <w:rPr>
          <w:rFonts w:ascii="Times New Roman;Times;Serif" w:hAnsi="Times New Roman;Times;Serif"/>
          <w:b w:val="false"/>
          <w:i w:val="false"/>
          <w:caps w:val="false"/>
          <w:smallCaps w:val="false"/>
          <w:sz w:val="20"/>
        </w:rPr>
        <w:t>8,000 of total recognized compensation cost related to PSUs for the three months ended July 31, 2026 and 2025, respectively. As of July 31, 2026, there was approximately $</w:t>
      </w:r>
      <w:bookmarkStart w:id="513" w:name="xdx_90D_eus-gaap--EmployeeServiceShareBa"/>
      <w:bookmarkEnd w:id="513"/>
      <w:r>
        <w:rPr>
          <w:rFonts w:ascii="Times New Roman;Times;Serif" w:hAnsi="Times New Roman;Times;Serif"/>
          <w:b w:val="false"/>
          <w:i w:val="false"/>
          <w:caps w:val="false"/>
          <w:smallCaps w:val="false"/>
          <w:sz w:val="20"/>
        </w:rPr>
        <w:t xml:space="preserve">18,000 of unrecognized compensation cost remaining related to unvested PSUs. This cost is expected to be recognized over a weighted-average period of </w:t>
      </w:r>
      <w:bookmarkStart w:id="514" w:name="xdx_90F_eus-gaap--EmployeeServiceShareBa"/>
      <w:bookmarkEnd w:id="514"/>
      <w:r>
        <w:rPr>
          <w:rFonts w:ascii="Times New Roman;Times;Serif" w:hAnsi="Times New Roman;Times;Serif"/>
          <w:b w:val="false"/>
          <w:i w:val="false"/>
          <w:caps w:val="false"/>
          <w:smallCaps w:val="false"/>
          <w:sz w:val="20"/>
        </w:rPr>
        <w:t>0.3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Compensation expense for RSUs is generally recorded based on the market value on the date of grant and recognized ratably over the associated service and performance period. During the three months ended July 31, 2026 and 2025, the Company granted approximately </w:t>
      </w:r>
      <w:bookmarkStart w:id="515" w:name="xdx_902_eus-gaap--ShareBasedCompensation"/>
      <w:bookmarkEnd w:id="515"/>
      <w:r>
        <w:rPr>
          <w:rFonts w:ascii="Times New Roman;Times;Serif" w:hAnsi="Times New Roman;Times;Serif"/>
          <w:b w:val="false"/>
          <w:i w:val="false"/>
          <w:caps w:val="false"/>
          <w:smallCaps w:val="false"/>
          <w:sz w:val="20"/>
        </w:rPr>
        <w:t xml:space="preserve">2,167 and </w:t>
      </w:r>
      <w:bookmarkStart w:id="516" w:name="xdx_907_eus-gaap--ShareBasedCompensation"/>
      <w:bookmarkEnd w:id="516"/>
      <w:r>
        <w:rPr>
          <w:rFonts w:ascii="Times New Roman;Times;Serif" w:hAnsi="Times New Roman;Times;Serif"/>
          <w:b w:val="false"/>
          <w:i w:val="false"/>
          <w:caps w:val="false"/>
          <w:smallCaps w:val="false"/>
          <w:sz w:val="20"/>
        </w:rPr>
        <w:t>17,367 shares, respectively, that were subject to both service-based and market-based vesting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7" w:name="xdx_89F_eus-gaap--ScheduleOfShareBasedCo"/>
      <w:bookmarkEnd w:id="517"/>
      <w:r>
        <w:rPr>
          <w:rFonts w:ascii="Times New Roman;Times;Serif" w:hAnsi="Times New Roman;Times;Serif"/>
          <w:b w:val="false"/>
          <w:i w:val="false"/>
          <w:caps w:val="false"/>
          <w:smallCaps w:val="false"/>
          <w:sz w:val="20"/>
        </w:rPr>
        <w:t>A summary of unvested RSU’s under the Stock Incentive Plans is as follows:</w:t>
      </w:r>
    </w:p>
    <w:p>
      <w:pPr>
        <w:pStyle w:val="TextBody"/>
        <w:bidi w:val="0"/>
        <w:spacing w:before="0" w:after="0"/>
        <w:ind w:left="0" w:right="0" w:hanging="0"/>
        <w:jc w:val="both"/>
        <w:rPr>
          <w:caps w:val="false"/>
          <w:smallCaps w:val="false"/>
        </w:rPr>
      </w:pPr>
      <w:r>
        <w:rPr>
          <w:caps w:val="false"/>
          <w:smallCaps w:val="false"/>
        </w:rPr>
        <w:t> </w:t>
      </w:r>
      <w:bookmarkStart w:id="518" w:name="xdx_8B8_z9B21ojjMDn"/>
      <w:bookmarkEnd w:id="518"/>
      <w:r>
        <w:rPr>
          <w:rFonts w:ascii="Times New Roman;Times;Serif" w:hAnsi="Times New Roman;Times;Serif"/>
          <w:b w:val="false"/>
          <w:i w:val="false"/>
          <w:caps w:val="false"/>
          <w:smallCaps w:val="false"/>
          <w:sz w:val="20"/>
        </w:rPr>
        <w:t>Schedule of Non-vested Restricted Stock Activity</w:t>
      </w:r>
    </w:p>
    <w:tbl>
      <w:tblPr>
        <w:tblW w:w="5674" w:type="dxa"/>
        <w:jc w:val="left"/>
        <w:tblInd w:w="0" w:type="dxa"/>
        <w:tblLayout w:type="fixed"/>
        <w:tblCellMar>
          <w:top w:w="0" w:type="dxa"/>
          <w:left w:w="0" w:type="dxa"/>
          <w:bottom w:w="0" w:type="dxa"/>
          <w:right w:w="0" w:type="dxa"/>
        </w:tblCellMar>
      </w:tblPr>
      <w:tblGrid>
        <w:gridCol w:w="2870"/>
        <w:gridCol w:w="60"/>
        <w:gridCol w:w="64"/>
        <w:gridCol w:w="855"/>
        <w:gridCol w:w="95"/>
        <w:gridCol w:w="60"/>
        <w:gridCol w:w="319"/>
        <w:gridCol w:w="1276"/>
        <w:gridCol w:w="75"/>
      </w:tblGrid>
      <w:tr>
        <w:trPr/>
        <w:tc>
          <w:tcPr>
            <w:tcW w:w="28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per Share</w:t>
            </w:r>
          </w:p>
        </w:tc>
        <w:tc>
          <w:tcPr>
            <w:tcW w:w="7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pPr>
            <w:r>
              <w:rPr/>
              <w:t>Outstanding at April 30, 2026</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519" w:name="xdx_98C_eus-gaap--ShareBasedCompensation"/>
            <w:bookmarkEnd w:id="519"/>
          </w:p>
        </w:tc>
        <w:tc>
          <w:tcPr>
            <w:tcW w:w="855" w:type="dxa"/>
            <w:tcBorders/>
            <w:shd w:fill="CCEEFF" w:val="clear"/>
            <w:vAlign w:val="center"/>
          </w:tcPr>
          <w:p>
            <w:pPr>
              <w:pStyle w:val="TableContents"/>
              <w:bidi w:val="0"/>
              <w:spacing w:before="0" w:after="283"/>
              <w:jc w:val="right"/>
              <w:rPr/>
            </w:pPr>
            <w:r>
              <w:rPr/>
              <w:t>793,756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w:t>
            </w:r>
            <w:bookmarkStart w:id="520" w:name="xdx_986_eus-gaap--ShareBasedCompensation"/>
            <w:bookmarkEnd w:id="520"/>
          </w:p>
        </w:tc>
        <w:tc>
          <w:tcPr>
            <w:tcW w:w="1276" w:type="dxa"/>
            <w:tcBorders/>
            <w:shd w:fill="CCEEFF" w:val="clear"/>
            <w:vAlign w:val="center"/>
          </w:tcPr>
          <w:p>
            <w:pPr>
              <w:pStyle w:val="TableContents"/>
              <w:bidi w:val="0"/>
              <w:spacing w:before="0" w:after="283"/>
              <w:jc w:val="right"/>
              <w:rPr/>
            </w:pPr>
            <w:r>
              <w:rPr/>
              <w:t>17.10</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bookmarkStart w:id="521" w:name="xdx_987_eus-gaap--ShareBasedCompensation"/>
            <w:bookmarkEnd w:id="521"/>
          </w:p>
        </w:tc>
        <w:tc>
          <w:tcPr>
            <w:tcW w:w="855" w:type="dxa"/>
            <w:tcBorders/>
            <w:shd w:fill="FFFFFF" w:val="clear"/>
            <w:vAlign w:val="center"/>
          </w:tcPr>
          <w:p>
            <w:pPr>
              <w:pStyle w:val="TableContents"/>
              <w:bidi w:val="0"/>
              <w:spacing w:before="0" w:after="283"/>
              <w:jc w:val="right"/>
              <w:rPr/>
            </w:pPr>
            <w:r>
              <w:rPr/>
              <w:t>2,167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w:t>
            </w:r>
            <w:bookmarkStart w:id="522" w:name="xdx_984_eus-gaap--ShareBasedCompensation"/>
            <w:bookmarkEnd w:id="522"/>
          </w:p>
        </w:tc>
        <w:tc>
          <w:tcPr>
            <w:tcW w:w="1276" w:type="dxa"/>
            <w:tcBorders/>
            <w:shd w:fill="FFFFFF" w:val="clear"/>
            <w:vAlign w:val="center"/>
          </w:tcPr>
          <w:p>
            <w:pPr>
              <w:pStyle w:val="TableContents"/>
              <w:bidi w:val="0"/>
              <w:spacing w:before="0" w:after="283"/>
              <w:jc w:val="right"/>
              <w:rPr/>
            </w:pPr>
            <w:r>
              <w:rPr/>
              <w:t>8.70</w:t>
            </w:r>
          </w:p>
        </w:tc>
        <w:tc>
          <w:tcPr>
            <w:tcW w:w="75"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pPr>
            <w:r>
              <w:rPr/>
              <w:t>Vested and issued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523" w:name="xdx_98B_eus-gaap--ShareBasedCompensation"/>
            <w:bookmarkEnd w:id="523"/>
          </w:p>
        </w:tc>
        <w:tc>
          <w:tcPr>
            <w:tcW w:w="8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w:t>
            </w:r>
            <w:bookmarkStart w:id="524" w:name="xdx_98A_eus-gaap--ShareBasedCompensation"/>
            <w:bookmarkEnd w:id="524"/>
          </w:p>
        </w:tc>
        <w:tc>
          <w:tcPr>
            <w:tcW w:w="127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Cancelled/forfeited</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5" w:name="xdx_98B_eus-gaap--ShareBasedCompensation"/>
            <w:bookmarkEnd w:id="525"/>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pPr>
            <w:r>
              <w:rPr/>
              <w:t>(1,935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19" w:type="dxa"/>
            <w:tcBorders>
              <w:bottom w:val="single" w:sz="8" w:space="0" w:color="000000"/>
            </w:tcBorders>
            <w:shd w:fill="FFFFFF" w:val="clear"/>
            <w:tcMar>
              <w:bottom w:w="28" w:type="dxa"/>
            </w:tcMar>
            <w:vAlign w:val="center"/>
          </w:tcPr>
          <w:p>
            <w:pPr>
              <w:pStyle w:val="TableContents"/>
              <w:bidi w:val="0"/>
              <w:spacing w:before="0" w:after="283"/>
              <w:jc w:val="left"/>
              <w:rPr/>
            </w:pPr>
            <w:r>
              <w:rPr/>
              <w:t>$</w:t>
            </w:r>
            <w:bookmarkStart w:id="526" w:name="xdx_98F_eus-gaap--ShareBasedCompensation"/>
            <w:bookmarkEnd w:id="526"/>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pPr>
            <w:r>
              <w:rPr/>
              <w:t>17.40</w:t>
            </w:r>
          </w:p>
        </w:tc>
        <w:tc>
          <w:tcPr>
            <w:tcW w:w="75"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pPr>
            <w:r>
              <w:rPr/>
              <w:t>Outstanding at July 31, 2026</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27" w:name="xdx_984_eus-gaap--ShareBasedCompensation"/>
            <w:bookmarkEnd w:id="527"/>
          </w:p>
        </w:tc>
        <w:tc>
          <w:tcPr>
            <w:tcW w:w="855" w:type="dxa"/>
            <w:tcBorders>
              <w:bottom w:val="double" w:sz="6" w:space="0" w:color="000000"/>
            </w:tcBorders>
            <w:shd w:fill="CCEEFF" w:val="clear"/>
            <w:tcMar>
              <w:bottom w:w="28" w:type="dxa"/>
            </w:tcMar>
            <w:vAlign w:val="center"/>
          </w:tcPr>
          <w:p>
            <w:pPr>
              <w:pStyle w:val="TableContents"/>
              <w:bidi w:val="0"/>
              <w:spacing w:before="0" w:after="283"/>
              <w:jc w:val="right"/>
              <w:rPr/>
            </w:pPr>
            <w:r>
              <w:rPr/>
              <w:t>793,988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28" w:name="xdx_987_eus-gaap--ShareBasedCompensation"/>
            <w:bookmarkEnd w:id="528"/>
          </w:p>
        </w:tc>
        <w:tc>
          <w:tcPr>
            <w:tcW w:w="1276" w:type="dxa"/>
            <w:tcBorders>
              <w:bottom w:val="double" w:sz="6" w:space="0" w:color="000000"/>
            </w:tcBorders>
            <w:shd w:fill="CCEEFF" w:val="clear"/>
            <w:tcMar>
              <w:bottom w:w="28" w:type="dxa"/>
            </w:tcMar>
            <w:vAlign w:val="center"/>
          </w:tcPr>
          <w:p>
            <w:pPr>
              <w:pStyle w:val="TableContents"/>
              <w:bidi w:val="0"/>
              <w:spacing w:before="0" w:after="283"/>
              <w:jc w:val="right"/>
              <w:rPr/>
            </w:pPr>
            <w:r>
              <w:rPr/>
              <w:t>17.10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29" w:name="xdx_8A7_zBcdf5jkn4Lk"/>
      <w:bookmarkEnd w:id="52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approximately $</w:t>
      </w:r>
      <w:bookmarkStart w:id="530" w:name="xdx_900_eus-gaap--AllocatedShareBasedCom"/>
      <w:bookmarkEnd w:id="530"/>
      <w:r>
        <w:rPr>
          <w:rFonts w:ascii="Times New Roman;Times;Serif" w:hAnsi="Times New Roman;Times;Serif"/>
          <w:b w:val="false"/>
          <w:i w:val="false"/>
          <w:caps w:val="false"/>
          <w:smallCaps w:val="false"/>
          <w:sz w:val="20"/>
        </w:rPr>
        <w:t>1.8 million and $</w:t>
      </w:r>
      <w:bookmarkStart w:id="531" w:name="xdx_904_eus-gaap--AllocatedShareBasedCom"/>
      <w:bookmarkEnd w:id="531"/>
      <w:r>
        <w:rPr>
          <w:rFonts w:ascii="Times New Roman;Times;Serif" w:hAnsi="Times New Roman;Times;Serif"/>
          <w:b w:val="false"/>
          <w:i w:val="false"/>
          <w:caps w:val="false"/>
          <w:smallCaps w:val="false"/>
          <w:sz w:val="20"/>
        </w:rPr>
        <w:t>2.4 million of total recognized compensation cost related to RSUs for the three months ended July 31, 2026 and 2025, respectively. As of July 31, 2026, there was approximately $</w:t>
      </w:r>
      <w:bookmarkStart w:id="532" w:name="xdx_907_eus-gaap--EmployeeServiceShareBa"/>
      <w:bookmarkEnd w:id="532"/>
      <w:r>
        <w:rPr>
          <w:rFonts w:ascii="Times New Roman;Times;Serif" w:hAnsi="Times New Roman;Times;Serif"/>
          <w:b w:val="false"/>
          <w:i w:val="false"/>
          <w:caps w:val="false"/>
          <w:smallCaps w:val="false"/>
          <w:sz w:val="20"/>
        </w:rPr>
        <w:t xml:space="preserve">6.7 million of unrecognized compensation cost remaining related to unvested RSUs. This cost is expected to be recognized over a weighted-average period of </w:t>
      </w:r>
      <w:bookmarkStart w:id="533" w:name="xdx_903_eus-gaap--EmployeeServiceShareBa"/>
      <w:bookmarkEnd w:id="533"/>
      <w:r>
        <w:rPr>
          <w:rFonts w:ascii="Times New Roman;Times;Serif" w:hAnsi="Times New Roman;Times;Serif"/>
          <w:b w:val="false"/>
          <w:i w:val="false"/>
          <w:caps w:val="false"/>
          <w:smallCaps w:val="false"/>
          <w:sz w:val="20"/>
        </w:rPr>
        <w:t>0.4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4" w:name="xdx_808_eus-gaap--FairValueDisclosuresTe"/>
      <w:bookmarkEnd w:id="534"/>
      <w:r>
        <w:rPr>
          <w:rFonts w:ascii="Times New Roman;Times;Serif" w:hAnsi="Times New Roman;Times;Serif"/>
          <w:b/>
          <w:i w:val="false"/>
          <w:caps w:val="false"/>
          <w:smallCaps w:val="false"/>
          <w:sz w:val="20"/>
        </w:rPr>
        <w:t xml:space="preserve">(12) </w:t>
      </w:r>
      <w:bookmarkStart w:id="535" w:name="xdx_827_zxbmmJO7yygj"/>
      <w:bookmarkEnd w:id="535"/>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ASC 820 - </w:t>
      </w:r>
      <w:r>
        <w:rPr>
          <w:rFonts w:ascii="Times New Roman;Times;Serif" w:hAnsi="Times New Roman;Times;Serif"/>
          <w:b w:val="false"/>
          <w:i/>
          <w:caps w:val="false"/>
          <w:smallCaps w:val="false"/>
          <w:sz w:val="20"/>
        </w:rPr>
        <w:t xml:space="preserve">Fair Value Measurements </w:t>
      </w:r>
      <w:r>
        <w:rPr>
          <w:rFonts w:ascii="Times New Roman;Times;Serif" w:hAnsi="Times New Roman;Times;Serif"/>
          <w:b w:val="false"/>
          <w:i w:val="false"/>
          <w:caps w:val="false"/>
          <w:smallCaps w:val="false"/>
          <w:sz w:val="20"/>
        </w:rPr>
        <w:t>states that fair value is an exit price, representing the amount that would be received to sell an asset or paid to transfer a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 and minimizes the use of unobservable inputs. The following is a description of the three hierarchy levels.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0"/>
        <w:gridCol w:w="9585"/>
      </w:tblGrid>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w:t>
            </w:r>
          </w:p>
        </w:tc>
        <w:tc>
          <w:tcPr>
            <w:tcW w:w="9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Unadjusted quoted prices in active markets for identical assets or liabilities that the Company has the ability to access at the measurement date.</w:t>
            </w:r>
          </w:p>
        </w:tc>
      </w:tr>
      <w:tr>
        <w:trPr/>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9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w:t>
            </w:r>
          </w:p>
        </w:tc>
        <w:tc>
          <w:tcPr>
            <w:tcW w:w="9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Inputs other than quoted prices in active markets that are observable for the asset or liability, either directly or indirectly.</w:t>
            </w:r>
          </w:p>
        </w:tc>
      </w:tr>
      <w:tr>
        <w:trPr/>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9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w:t>
            </w:r>
          </w:p>
        </w:tc>
        <w:tc>
          <w:tcPr>
            <w:tcW w:w="9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Inputs that are unobservable for the asset or liability.</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ASC 825 –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xml:space="preserve"> allows entities to voluntarily choose to measure certain financial assets and liabilities at fair value (the fair value option). The fair value option may be elected on an instrument-by-instrument basis and is irrevocable unless a new election date occurs. If the fair value option is elected for an instrument, unrealized gains and losses for that instrument should be reported in earnings at each subsequent reporting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Disclosure of Fair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that are not re-measured at fair value include cash, cash equivalents, restricted cash, accounts receivable, other assets, contract assets and liabilities, deposits, accounts payable, and accrued expenses. The carrying value is equal to their fair value due to the short-term nature of these accounts.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536" w:name="xdx_898_eus-gaap--FairValueLiabilitiesMe"/>
      <w:bookmarkEnd w:id="536"/>
      <w:r>
        <w:rPr>
          <w:rFonts w:ascii="Times New Roman;Times;Serif" w:hAnsi="Times New Roman;Times;Serif"/>
          <w:b w:val="false"/>
          <w:i w:val="false"/>
          <w:caps w:val="false"/>
          <w:smallCaps w:val="false"/>
          <w:sz w:val="20"/>
        </w:rPr>
        <w:t>The following tables sets forth the Company’s financial instruments that are measured at fair value on a recurring basis by level within the fair value hierarchy (amounts in thousands):</w:t>
      </w:r>
    </w:p>
    <w:p>
      <w:pPr>
        <w:pStyle w:val="TextBody"/>
        <w:bidi w:val="0"/>
        <w:spacing w:before="0" w:after="0"/>
        <w:ind w:left="0" w:right="0" w:hanging="0"/>
        <w:jc w:val="both"/>
        <w:rPr>
          <w:caps w:val="false"/>
          <w:smallCaps w:val="false"/>
        </w:rPr>
      </w:pPr>
      <w:r>
        <w:rPr>
          <w:caps w:val="false"/>
          <w:smallCaps w:val="false"/>
        </w:rPr>
        <w:t> </w:t>
      </w:r>
      <w:bookmarkStart w:id="537" w:name="xdx_8B9_zxESaoHwCSR2"/>
      <w:bookmarkEnd w:id="537"/>
      <w:r>
        <w:rPr>
          <w:rFonts w:ascii="Times New Roman;Times;Serif" w:hAnsi="Times New Roman;Times;Serif"/>
          <w:b w:val="false"/>
          <w:i w:val="false"/>
          <w:caps w:val="false"/>
          <w:smallCaps w:val="false"/>
          <w:sz w:val="20"/>
        </w:rPr>
        <w:t>Schedule of Fair Value Liability on Recurring Basis</w:t>
      </w:r>
    </w:p>
    <w:tbl>
      <w:tblPr>
        <w:tblW w:w="9368" w:type="dxa"/>
        <w:jc w:val="left"/>
        <w:tblInd w:w="0" w:type="dxa"/>
        <w:tblLayout w:type="fixed"/>
        <w:tblCellMar>
          <w:top w:w="0" w:type="dxa"/>
          <w:left w:w="0" w:type="dxa"/>
          <w:bottom w:w="0" w:type="dxa"/>
          <w:right w:w="0" w:type="dxa"/>
        </w:tblCellMar>
      </w:tblPr>
      <w:tblGrid>
        <w:gridCol w:w="5360"/>
        <w:gridCol w:w="60"/>
        <w:gridCol w:w="315"/>
        <w:gridCol w:w="1534"/>
        <w:gridCol w:w="95"/>
        <w:gridCol w:w="60"/>
        <w:gridCol w:w="157"/>
        <w:gridCol w:w="1677"/>
        <w:gridCol w:w="110"/>
      </w:tblGrid>
      <w:tr>
        <w:trPr/>
        <w:tc>
          <w:tcPr>
            <w:tcW w:w="5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8" w:name="xdx_494_20260501__20260731__us-gaap--Fin"/>
            <w:bookmarkEnd w:id="538"/>
          </w:p>
        </w:tc>
        <w:tc>
          <w:tcPr>
            <w:tcW w:w="18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Convertible Notes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9" w:name="xdx_49F_20260501__20260731__us-gaap--Fin"/>
            <w:bookmarkEnd w:id="539"/>
          </w:p>
        </w:tc>
        <w:tc>
          <w:tcPr>
            <w:tcW w:w="18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 Liability</w:t>
            </w:r>
          </w:p>
        </w:tc>
        <w:tc>
          <w:tcPr>
            <w:tcW w:w="110" w:type="dxa"/>
            <w:tcBorders/>
            <w:vAlign w:val="center"/>
          </w:tcPr>
          <w:p>
            <w:pPr>
              <w:pStyle w:val="TableContents"/>
              <w:bidi w:val="0"/>
              <w:spacing w:before="0" w:after="283"/>
              <w:jc w:val="left"/>
              <w:rPr/>
            </w:pPr>
            <w:r>
              <w:rPr/>
              <w:t> </w:t>
            </w:r>
            <w:bookmarkStart w:id="540" w:name="xdx_408_eus-gaap--FairValueHedgeLiabilit"/>
            <w:bookmarkEnd w:id="540"/>
          </w:p>
        </w:tc>
      </w:tr>
      <w:tr>
        <w:trPr/>
        <w:tc>
          <w:tcPr>
            <w:tcW w:w="5360" w:type="dxa"/>
            <w:tcBorders/>
            <w:shd w:fill="CCEEFF" w:val="clear"/>
            <w:vAlign w:val="center"/>
          </w:tcPr>
          <w:p>
            <w:pPr>
              <w:pStyle w:val="TableContents"/>
              <w:bidi w:val="0"/>
              <w:spacing w:before="0" w:after="283"/>
              <w:jc w:val="left"/>
              <w:rPr/>
            </w:pPr>
            <w:r>
              <w:rPr/>
              <w:t>Convertible note fair value - April 30, 2026</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534" w:type="dxa"/>
            <w:tcBorders/>
            <w:shd w:fill="CCEEFF" w:val="clear"/>
            <w:vAlign w:val="center"/>
          </w:tcPr>
          <w:p>
            <w:pPr>
              <w:pStyle w:val="TableContents"/>
              <w:bidi w:val="0"/>
              <w:spacing w:before="0" w:after="283"/>
              <w:jc w:val="right"/>
              <w:rPr/>
            </w:pPr>
            <w:r>
              <w:rPr/>
              <w:t>10,428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67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541" w:name="xdx_409_eus-gaap--RepaymentsOfConvertibl"/>
            <w:bookmarkEnd w:id="541"/>
          </w:p>
        </w:tc>
      </w:tr>
      <w:tr>
        <w:trPr/>
        <w:tc>
          <w:tcPr>
            <w:tcW w:w="5360" w:type="dxa"/>
            <w:tcBorders/>
            <w:shd w:fill="FFFFFF" w:val="clear"/>
            <w:vAlign w:val="center"/>
          </w:tcPr>
          <w:p>
            <w:pPr>
              <w:pStyle w:val="TableContents"/>
              <w:bidi w:val="0"/>
              <w:spacing w:before="0" w:after="283"/>
              <w:jc w:val="left"/>
              <w:rPr/>
            </w:pPr>
            <w:r>
              <w:rPr/>
              <w:t>Change due to note repayment</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534" w:type="dxa"/>
            <w:tcBorders/>
            <w:shd w:fill="FFFFFF" w:val="clear"/>
            <w:vAlign w:val="center"/>
          </w:tcPr>
          <w:p>
            <w:pPr>
              <w:pStyle w:val="TableContents"/>
              <w:bidi w:val="0"/>
              <w:spacing w:before="0" w:after="283"/>
              <w:jc w:val="right"/>
              <w:rPr/>
            </w:pPr>
            <w:r>
              <w:rPr/>
              <w:t>(2,355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67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542" w:name="xdx_404_eus-gaap--LiabilitiesFairValueAd"/>
            <w:bookmarkEnd w:id="542"/>
          </w:p>
        </w:tc>
      </w:tr>
      <w:tr>
        <w:trPr/>
        <w:tc>
          <w:tcPr>
            <w:tcW w:w="5360" w:type="dxa"/>
            <w:tcBorders/>
            <w:shd w:fill="CCEEFF" w:val="clear"/>
            <w:vAlign w:val="center"/>
          </w:tcPr>
          <w:p>
            <w:pPr>
              <w:pStyle w:val="TableContents"/>
              <w:bidi w:val="0"/>
              <w:spacing w:before="0" w:after="283"/>
              <w:jc w:val="left"/>
              <w:rPr/>
            </w:pPr>
            <w:r>
              <w:rPr/>
              <w:t>Change due to fair value adjustment of convertible notes</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534"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67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543" w:name="xdx_403_eus-gaap--FairValueAdjustmentOfW"/>
            <w:bookmarkEnd w:id="543"/>
          </w:p>
        </w:tc>
      </w:tr>
      <w:tr>
        <w:trPr/>
        <w:tc>
          <w:tcPr>
            <w:tcW w:w="5360" w:type="dxa"/>
            <w:tcBorders/>
            <w:shd w:fill="FFFFFF" w:val="clear"/>
            <w:vAlign w:val="center"/>
          </w:tcPr>
          <w:p>
            <w:pPr>
              <w:pStyle w:val="TableContents"/>
              <w:bidi w:val="0"/>
              <w:spacing w:before="0" w:after="283"/>
              <w:jc w:val="left"/>
              <w:rPr/>
            </w:pPr>
            <w:r>
              <w:rPr/>
              <w:t>Warrant Liability – June Issuance</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153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1677" w:type="dxa"/>
            <w:tcBorders/>
            <w:shd w:fill="FFFFFF" w:val="clear"/>
            <w:vAlign w:val="center"/>
          </w:tcPr>
          <w:p>
            <w:pPr>
              <w:pStyle w:val="TableContents"/>
              <w:bidi w:val="0"/>
              <w:spacing w:before="0" w:after="283"/>
              <w:jc w:val="right"/>
              <w:rPr/>
            </w:pPr>
            <w:r>
              <w:rPr/>
              <w:t>8,663</w:t>
            </w:r>
          </w:p>
        </w:tc>
        <w:tc>
          <w:tcPr>
            <w:tcW w:w="110" w:type="dxa"/>
            <w:tcBorders/>
            <w:shd w:fill="FFFFFF" w:val="clear"/>
            <w:vAlign w:val="center"/>
          </w:tcPr>
          <w:p>
            <w:pPr>
              <w:pStyle w:val="TableContents"/>
              <w:bidi w:val="0"/>
              <w:spacing w:before="0" w:after="283"/>
              <w:jc w:val="left"/>
              <w:rPr/>
            </w:pPr>
            <w:r>
              <w:rPr/>
              <w:t> </w:t>
            </w:r>
            <w:bookmarkStart w:id="544" w:name="xdx_40A_ecustom--ConvertibleNotesWarrant"/>
            <w:bookmarkEnd w:id="544"/>
          </w:p>
        </w:tc>
      </w:tr>
      <w:tr>
        <w:trPr/>
        <w:tc>
          <w:tcPr>
            <w:tcW w:w="5360" w:type="dxa"/>
            <w:tcBorders/>
            <w:shd w:fill="CCEEFF" w:val="clear"/>
            <w:vAlign w:val="center"/>
          </w:tcPr>
          <w:p>
            <w:pPr>
              <w:pStyle w:val="TableContents"/>
              <w:bidi w:val="0"/>
              <w:spacing w:before="0" w:after="283"/>
              <w:jc w:val="left"/>
              <w:rPr/>
            </w:pPr>
            <w:r>
              <w:rPr/>
              <w:t>Change due to fair value adjustment of convertible notes</w:t>
            </w:r>
          </w:p>
        </w:tc>
        <w:tc>
          <w:tcPr>
            <w:tcW w:w="60" w:type="dxa"/>
            <w:tcBorders/>
            <w:shd w:fill="CCEEFF" w:val="clear"/>
            <w:vAlign w:val="center"/>
          </w:tcPr>
          <w:p>
            <w:pPr>
              <w:pStyle w:val="TableContents"/>
              <w:bidi w:val="0"/>
              <w:spacing w:before="0" w:after="283"/>
              <w:jc w:val="left"/>
              <w:rPr/>
            </w:pPr>
            <w:r>
              <w:rPr/>
              <w:t> </w:t>
            </w:r>
          </w:p>
        </w:tc>
        <w:tc>
          <w:tcPr>
            <w:tcW w:w="3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3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77" w:type="dxa"/>
            <w:tcBorders>
              <w:bottom w:val="single" w:sz="8" w:space="0" w:color="000000"/>
            </w:tcBorders>
            <w:shd w:fill="CCEEFF" w:val="clear"/>
            <w:tcMar>
              <w:bottom w:w="28" w:type="dxa"/>
            </w:tcMar>
            <w:vAlign w:val="center"/>
          </w:tcPr>
          <w:p>
            <w:pPr>
              <w:pStyle w:val="TableContents"/>
              <w:bidi w:val="0"/>
              <w:spacing w:before="0" w:after="283"/>
              <w:jc w:val="right"/>
              <w:rPr/>
            </w:pPr>
            <w:r>
              <w:rPr/>
              <w:t>(4,907</w:t>
            </w:r>
          </w:p>
        </w:tc>
        <w:tc>
          <w:tcPr>
            <w:tcW w:w="110" w:type="dxa"/>
            <w:tcBorders/>
            <w:shd w:fill="CCEEFF" w:val="clear"/>
            <w:vAlign w:val="center"/>
          </w:tcPr>
          <w:p>
            <w:pPr>
              <w:pStyle w:val="TableContents"/>
              <w:bidi w:val="0"/>
              <w:spacing w:before="0" w:after="283"/>
              <w:jc w:val="left"/>
              <w:rPr/>
            </w:pPr>
            <w:r>
              <w:rPr/>
              <w:t>)</w:t>
            </w:r>
            <w:bookmarkStart w:id="545" w:name="xdx_40A_eus-gaap--FairValueHedgeLiabilit"/>
            <w:bookmarkEnd w:id="545"/>
          </w:p>
        </w:tc>
      </w:tr>
      <w:tr>
        <w:trPr/>
        <w:tc>
          <w:tcPr>
            <w:tcW w:w="5360" w:type="dxa"/>
            <w:tcBorders/>
            <w:shd w:fill="FFFFFF" w:val="clear"/>
            <w:vAlign w:val="center"/>
          </w:tcPr>
          <w:p>
            <w:pPr>
              <w:pStyle w:val="TableContents"/>
              <w:bidi w:val="0"/>
              <w:spacing w:before="0" w:after="283"/>
              <w:jc w:val="left"/>
              <w:rPr/>
            </w:pPr>
            <w:r>
              <w:rPr/>
              <w:t>Fair Value - July 31, 2026</w:t>
            </w:r>
          </w:p>
        </w:tc>
        <w:tc>
          <w:tcPr>
            <w:tcW w:w="60" w:type="dxa"/>
            <w:tcBorders/>
            <w:shd w:fill="FFFFFF" w:val="cle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34" w:type="dxa"/>
            <w:tcBorders>
              <w:bottom w:val="double" w:sz="6" w:space="0" w:color="000000"/>
            </w:tcBorders>
            <w:shd w:fill="FFFFFF" w:val="clear"/>
            <w:tcMar>
              <w:bottom w:w="28" w:type="dxa"/>
            </w:tcMar>
            <w:vAlign w:val="center"/>
          </w:tcPr>
          <w:p>
            <w:pPr>
              <w:pStyle w:val="TableContents"/>
              <w:bidi w:val="0"/>
              <w:spacing w:before="0" w:after="283"/>
              <w:jc w:val="right"/>
              <w:rPr/>
            </w:pPr>
            <w:r>
              <w:rPr/>
              <w:t>8,068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77" w:type="dxa"/>
            <w:tcBorders>
              <w:bottom w:val="double" w:sz="6" w:space="0" w:color="000000"/>
            </w:tcBorders>
            <w:shd w:fill="FFFFFF" w:val="clear"/>
            <w:tcMar>
              <w:bottom w:w="28" w:type="dxa"/>
            </w:tcMar>
            <w:vAlign w:val="center"/>
          </w:tcPr>
          <w:p>
            <w:pPr>
              <w:pStyle w:val="TableContents"/>
              <w:bidi w:val="0"/>
              <w:spacing w:before="0" w:after="283"/>
              <w:jc w:val="right"/>
              <w:rPr/>
            </w:pPr>
            <w:r>
              <w:rPr/>
              <w:t>3,756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109" w:type="dxa"/>
        <w:jc w:val="left"/>
        <w:tblInd w:w="0" w:type="dxa"/>
        <w:tblLayout w:type="fixed"/>
        <w:tblCellMar>
          <w:top w:w="0" w:type="dxa"/>
          <w:left w:w="0" w:type="dxa"/>
          <w:bottom w:w="0" w:type="dxa"/>
          <w:right w:w="0" w:type="dxa"/>
        </w:tblCellMar>
      </w:tblPr>
      <w:tblGrid>
        <w:gridCol w:w="2765"/>
        <w:gridCol w:w="60"/>
        <w:gridCol w:w="172"/>
        <w:gridCol w:w="403"/>
        <w:gridCol w:w="60"/>
        <w:gridCol w:w="60"/>
        <w:gridCol w:w="232"/>
        <w:gridCol w:w="928"/>
        <w:gridCol w:w="60"/>
        <w:gridCol w:w="60"/>
        <w:gridCol w:w="210"/>
        <w:gridCol w:w="1024"/>
        <w:gridCol w:w="75"/>
      </w:tblGrid>
      <w:tr>
        <w:trPr/>
        <w:tc>
          <w:tcPr>
            <w:tcW w:w="27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46" w:name="xdx_494_20260501__20260731__us-gaap--Fai"/>
            <w:bookmarkEnd w:id="546"/>
          </w:p>
        </w:tc>
        <w:tc>
          <w:tcPr>
            <w:tcW w:w="11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47" w:name="xdx_499_20250501__20260430__us-gaap--Fai"/>
            <w:bookmarkEnd w:id="547"/>
          </w:p>
        </w:tc>
        <w:tc>
          <w:tcPr>
            <w:tcW w:w="123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April 30, 2026</w:t>
            </w:r>
          </w:p>
        </w:tc>
        <w:tc>
          <w:tcPr>
            <w:tcW w:w="75" w:type="dxa"/>
            <w:tcBorders/>
            <w:vAlign w:val="center"/>
          </w:tcPr>
          <w:p>
            <w:pPr>
              <w:pStyle w:val="TableContents"/>
              <w:bidi w:val="0"/>
              <w:spacing w:before="0" w:after="283"/>
              <w:jc w:val="left"/>
              <w:rPr/>
            </w:pPr>
            <w:r>
              <w:rPr/>
              <w:t> </w:t>
            </w:r>
            <w:bookmarkStart w:id="548" w:name="xdx_400_eus-gaap--FairValueHedgeLiabilit"/>
            <w:bookmarkEnd w:id="548"/>
          </w:p>
        </w:tc>
      </w:tr>
      <w:tr>
        <w:trPr/>
        <w:tc>
          <w:tcPr>
            <w:tcW w:w="2765" w:type="dxa"/>
            <w:tcBorders/>
            <w:shd w:fill="CCEEFF" w:val="clear"/>
            <w:vAlign w:val="center"/>
          </w:tcPr>
          <w:p>
            <w:pPr>
              <w:pStyle w:val="TableContents"/>
              <w:bidi w:val="0"/>
              <w:spacing w:before="0" w:after="283"/>
              <w:jc w:val="both"/>
              <w:rPr/>
            </w:pPr>
            <w:r>
              <w:rPr/>
              <w:t>April 2026 Convertible Note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8,068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024" w:type="dxa"/>
            <w:tcBorders/>
            <w:shd w:fill="CCEEFF" w:val="clear"/>
            <w:vAlign w:val="center"/>
          </w:tcPr>
          <w:p>
            <w:pPr>
              <w:pStyle w:val="TableContents"/>
              <w:bidi w:val="0"/>
              <w:spacing w:before="0" w:after="283"/>
              <w:jc w:val="right"/>
              <w:rPr/>
            </w:pPr>
            <w:r>
              <w:rPr/>
              <w:t>10,428</w:t>
            </w:r>
          </w:p>
        </w:tc>
        <w:tc>
          <w:tcPr>
            <w:tcW w:w="75" w:type="dxa"/>
            <w:tcBorders/>
            <w:shd w:fill="CCEEFF" w:val="clear"/>
            <w:vAlign w:val="center"/>
          </w:tcPr>
          <w:p>
            <w:pPr>
              <w:pStyle w:val="TableContents"/>
              <w:bidi w:val="0"/>
              <w:spacing w:before="0" w:after="283"/>
              <w:jc w:val="left"/>
              <w:rPr/>
            </w:pPr>
            <w:r>
              <w:rPr/>
              <w:t> </w:t>
            </w:r>
            <w:bookmarkStart w:id="549" w:name="xdx_404_eus-gaap--FairValueHedgeLiabilit"/>
            <w:bookmarkEnd w:id="549"/>
          </w:p>
        </w:tc>
      </w:tr>
      <w:tr>
        <w:trPr/>
        <w:tc>
          <w:tcPr>
            <w:tcW w:w="2765" w:type="dxa"/>
            <w:tcBorders/>
            <w:shd w:fill="FFFFFF" w:val="clear"/>
            <w:vAlign w:val="center"/>
          </w:tcPr>
          <w:p>
            <w:pPr>
              <w:pStyle w:val="TableContents"/>
              <w:bidi w:val="0"/>
              <w:spacing w:before="0" w:after="283"/>
              <w:jc w:val="both"/>
              <w:rPr/>
            </w:pPr>
            <w:r>
              <w:rPr/>
              <w:t>June 2026 Warrant Liability</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03" w:type="dxa"/>
            <w:tcBorders>
              <w:bottom w:val="single" w:sz="8" w:space="0" w:color="000000"/>
            </w:tcBorders>
            <w:shd w:fill="FFFFFF" w:val="clear"/>
            <w:tcMar>
              <w:bottom w:w="28" w:type="dxa"/>
            </w:tcMar>
            <w:vAlign w:val="center"/>
          </w:tcPr>
          <w:p>
            <w:pPr>
              <w:pStyle w:val="TableContents"/>
              <w:bidi w:val="0"/>
              <w:spacing w:before="0" w:after="283"/>
              <w:jc w:val="right"/>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8" w:type="dxa"/>
            <w:tcBorders>
              <w:bottom w:val="single" w:sz="8" w:space="0" w:color="000000"/>
            </w:tcBorders>
            <w:shd w:fill="FFFFFF" w:val="clear"/>
            <w:tcMar>
              <w:bottom w:w="28" w:type="dxa"/>
            </w:tcMar>
            <w:vAlign w:val="center"/>
          </w:tcPr>
          <w:p>
            <w:pPr>
              <w:pStyle w:val="TableContents"/>
              <w:bidi w:val="0"/>
              <w:spacing w:before="0" w:after="283"/>
              <w:jc w:val="right"/>
              <w:rPr/>
            </w:pPr>
            <w:r>
              <w:rPr/>
              <w:t>3,756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50" w:name="xdx_40C_eus-gaap--FairValueHedgeLiabilit"/>
            <w:bookmarkEnd w:id="550"/>
          </w:p>
        </w:tc>
      </w:tr>
      <w:tr>
        <w:trPr/>
        <w:tc>
          <w:tcPr>
            <w:tcW w:w="2765" w:type="dxa"/>
            <w:tcBorders/>
            <w:shd w:fill="FFFFFF" w:val="clear"/>
            <w:vAlign w:val="center"/>
          </w:tcPr>
          <w:p>
            <w:pPr>
              <w:pStyle w:val="TableContents"/>
              <w:bidi w:val="0"/>
              <w:spacing w:before="0" w:after="283"/>
              <w:jc w:val="both"/>
              <w:rPr/>
            </w:pPr>
            <w:r>
              <w:rPr/>
              <w:t>Fair Value</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03" w:type="dxa"/>
            <w:tcBorders>
              <w:bottom w:val="single" w:sz="8" w:space="0" w:color="000000"/>
            </w:tcBorders>
            <w:shd w:fill="FFFFFF" w:val="clear"/>
            <w:tcMar>
              <w:bottom w:w="28" w:type="dxa"/>
            </w:tcMar>
            <w:vAlign w:val="center"/>
          </w:tcPr>
          <w:p>
            <w:pPr>
              <w:pStyle w:val="TableContents"/>
              <w:bidi w:val="0"/>
              <w:spacing w:before="0" w:after="283"/>
              <w:jc w:val="right"/>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8" w:type="dxa"/>
            <w:tcBorders>
              <w:bottom w:val="single" w:sz="8" w:space="0" w:color="000000"/>
            </w:tcBorders>
            <w:shd w:fill="FFFFFF" w:val="clear"/>
            <w:tcMar>
              <w:bottom w:w="28" w:type="dxa"/>
            </w:tcMar>
            <w:vAlign w:val="center"/>
          </w:tcPr>
          <w:p>
            <w:pPr>
              <w:pStyle w:val="TableContents"/>
              <w:bidi w:val="0"/>
              <w:spacing w:before="0" w:after="283"/>
              <w:jc w:val="right"/>
              <w:rPr/>
            </w:pPr>
            <w:r>
              <w:rPr/>
              <w:t>3,756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51" w:name="xdx_8A2_zOYb6gzliuIe"/>
      <w:bookmarkEnd w:id="55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the fair value option for the April 2026 convertible note issuances. Management determined that the fair value option would be elected for these convertible notes as they are required to be measured at fair value as part of the determination of the extinguishment of the previously issued convertible notes. At July 31, 2026, the fair value of these convertibles notes was $</w:t>
      </w:r>
      <w:bookmarkStart w:id="552" w:name="xdx_907_eus-gaap--DebtInstrumentFairValu"/>
      <w:bookmarkEnd w:id="552"/>
      <w:r>
        <w:rPr>
          <w:rFonts w:ascii="Times New Roman;Times;Serif" w:hAnsi="Times New Roman;Times;Serif"/>
          <w:b w:val="false"/>
          <w:i w:val="false"/>
          <w:caps w:val="false"/>
          <w:smallCaps w:val="false"/>
          <w:sz w:val="20"/>
        </w:rPr>
        <w:t>8.1 million, as compared to the aggregate unpaid principal and premium balance of $</w:t>
      </w:r>
      <w:bookmarkStart w:id="553" w:name="xdx_90F_ecustom--FairValueUnpaidPrincipa"/>
      <w:bookmarkEnd w:id="553"/>
      <w:r>
        <w:rPr>
          <w:rFonts w:ascii="Times New Roman;Times;Serif" w:hAnsi="Times New Roman;Times;Serif"/>
          <w:b w:val="false"/>
          <w:i w:val="false"/>
          <w:caps w:val="false"/>
          <w:smallCaps w:val="false"/>
          <w:sz w:val="20"/>
        </w:rPr>
        <w:t>8.6 million at that same date. The fair value of the convertible notes, including the conversion option and all embedded features, was determined using a simulation model. Key inputs to the model include the initial conversion price of $</w:t>
      </w:r>
      <w:bookmarkStart w:id="554" w:name="xdx_903_eus-gaap--DebtInstrumentConverti"/>
      <w:bookmarkEnd w:id="554"/>
      <w:r>
        <w:rPr>
          <w:rFonts w:ascii="Times New Roman;Times;Serif" w:hAnsi="Times New Roman;Times;Serif"/>
          <w:b w:val="false"/>
          <w:i w:val="false"/>
          <w:caps w:val="false"/>
          <w:smallCaps w:val="false"/>
          <w:sz w:val="20"/>
        </w:rPr>
        <w:t>12.00 per share, the common stock value as of the issuance date of $</w:t>
      </w:r>
      <w:bookmarkStart w:id="555" w:name="xdx_908_eus-gaap--DerivativeAssetMeasure"/>
      <w:bookmarkEnd w:id="555"/>
      <w:r>
        <w:rPr>
          <w:rFonts w:ascii="Times New Roman;Times;Serif" w:hAnsi="Times New Roman;Times;Serif"/>
          <w:b w:val="false"/>
          <w:i w:val="false"/>
          <w:caps w:val="false"/>
          <w:smallCaps w:val="false"/>
          <w:sz w:val="20"/>
        </w:rPr>
        <w:t xml:space="preserve">10.50, the risk-free rate of </w:t>
      </w:r>
      <w:bookmarkStart w:id="556" w:name="xdx_90C_eus-gaap--DerivativeAssetMeasure"/>
      <w:bookmarkEnd w:id="556"/>
      <w:r>
        <w:rPr>
          <w:rFonts w:ascii="Times New Roman;Times;Serif" w:hAnsi="Times New Roman;Times;Serif"/>
          <w:b w:val="false"/>
          <w:i w:val="false"/>
          <w:caps w:val="false"/>
          <w:smallCaps w:val="false"/>
          <w:sz w:val="20"/>
        </w:rPr>
        <w:t xml:space="preserve">3.68%, and probability of settlement options, and the equity volatility of </w:t>
      </w:r>
      <w:bookmarkStart w:id="557" w:name="xdx_90B_eus-gaap--DerivativeAssetMeasure"/>
      <w:bookmarkEnd w:id="557"/>
      <w:r>
        <w:rPr>
          <w:rFonts w:ascii="Times New Roman;Times;Serif" w:hAnsi="Times New Roman;Times;Serif"/>
          <w:b w:val="false"/>
          <w:i w:val="false"/>
          <w:caps w:val="false"/>
          <w:smallCaps w:val="false"/>
          <w:sz w:val="20"/>
        </w:rPr>
        <w:t>150%. The equity volatility was determined using the Company’s historical volatility. Interest expense of approximately $</w:t>
      </w:r>
      <w:bookmarkStart w:id="558" w:name="xdx_90D_eus-gaap--InterestExpense_c20260"/>
      <w:bookmarkEnd w:id="558"/>
      <w:r>
        <w:rPr>
          <w:rFonts w:ascii="Times New Roman;Times;Serif" w:hAnsi="Times New Roman;Times;Serif"/>
          <w:b w:val="false"/>
          <w:i w:val="false"/>
          <w:caps w:val="false"/>
          <w:smallCaps w:val="false"/>
          <w:sz w:val="20"/>
        </w:rPr>
        <w:t>278,000 was recorded during the three-month period ended July 31, 2026. This amount is included within “Interest (expense)/income, net” within the Company’s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9" w:name="xdx_807_eus-gaap--StockholdersEquityNote"/>
      <w:bookmarkEnd w:id="559"/>
      <w:r>
        <w:rPr>
          <w:rFonts w:ascii="Times New Roman;Times;Serif" w:hAnsi="Times New Roman;Times;Serif"/>
          <w:b/>
          <w:i w:val="false"/>
          <w:caps w:val="false"/>
          <w:smallCaps w:val="false"/>
          <w:sz w:val="20"/>
        </w:rPr>
        <w:t xml:space="preserve">(13) </w:t>
      </w:r>
      <w:bookmarkStart w:id="560" w:name="xdx_82F_zDb9SDTwJqCf"/>
      <w:bookmarkEnd w:id="560"/>
      <w:r>
        <w:rPr>
          <w:rFonts w:ascii="Times New Roman;Times;Serif" w:hAnsi="Times New Roman;Times;Serif"/>
          <w:b/>
          <w:i w:val="false"/>
          <w:caps w:val="false"/>
          <w:smallCaps w:val="false"/>
          <w:sz w:val="20"/>
        </w:rPr>
        <w:t>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At-the-Market Offering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2025, the Company entered into an At Market Issuance Sales Agreement with Ladenburg Thalmann &amp;Co. Inc. (the “Ladenburg Sales Agreement”), under which the Company may, from time to time, offer and sell shares of its common stock having an aggregate gross sales price of up to $</w:t>
      </w:r>
      <w:bookmarkStart w:id="561" w:name="xdx_908_eus-gaap--ProceedsFromIssuanceOf"/>
      <w:bookmarkEnd w:id="561"/>
      <w:r>
        <w:rPr>
          <w:rFonts w:ascii="Times New Roman;Times;Serif" w:hAnsi="Times New Roman;Times;Serif"/>
          <w:b w:val="false"/>
          <w:i w:val="false"/>
          <w:caps w:val="false"/>
          <w:smallCaps w:val="false"/>
          <w:sz w:val="20"/>
        </w:rPr>
        <w:t>40.0 million. The shares will be offered pursuant to the Company’s shelf registration statement on Form S-3, including the related prospectus supplement filed with the SEC on August 8,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if any, will be made in transactions deemed to be “at the market offerings” as defined in Rule 415(a)(4) under the Securities Act, directly on or through the NYSE American or in negotiated transactions as otherwise permitted under the Sales Agreement. The Company is not obligated to sell any shares under the Ladenburg sales agreement and may suspend or terminate the offering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562" w:name="xdx_90E_eus-gaap--StockIssuedDuringPerio"/>
      <w:bookmarkEnd w:id="562"/>
      <w:r>
        <w:rPr>
          <w:rFonts w:ascii="Times New Roman;Times;Serif" w:hAnsi="Times New Roman;Times;Serif"/>
          <w:b w:val="false"/>
          <w:i w:val="false"/>
          <w:caps w:val="false"/>
          <w:smallCaps w:val="false"/>
          <w:sz w:val="20"/>
        </w:rPr>
        <w:t>189,797 shares were sold under the Ladenburg Sales Agreement during the three-month period ended July 31, 2026 totaling proceeds of $</w:t>
      </w:r>
      <w:bookmarkStart w:id="563" w:name="xdx_905_eus-gaap--StockIssuedDuringPerio"/>
      <w:bookmarkEnd w:id="563"/>
      <w:r>
        <w:rPr>
          <w:rFonts w:ascii="Times New Roman;Times;Serif" w:hAnsi="Times New Roman;Times;Serif"/>
          <w:b w:val="false"/>
          <w:i w:val="false"/>
          <w:caps w:val="false"/>
          <w:smallCaps w:val="false"/>
          <w:sz w:val="20"/>
        </w:rPr>
        <w:t>1.4 million. The agreement was terminated effective July 22,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the Company entered into an at-the-market offering agreement (the “Wainwright Sales Agreement”) with H.C. Wainwright &amp; Co., LLC (“Wainwright”), pursuant to which the Company may offer and sell, from time to time through Wainwright acting as sales agent, shares of the Company’s common stock having an aggregate offering price of up to $</w:t>
      </w:r>
      <w:bookmarkStart w:id="564" w:name="xdx_902_ecustom--AggregateOfferingPriceO"/>
      <w:bookmarkEnd w:id="564"/>
      <w:r>
        <w:rPr>
          <w:rFonts w:ascii="Times New Roman;Times;Serif" w:hAnsi="Times New Roman;Times;Serif"/>
          <w:b w:val="false"/>
          <w:i w:val="false"/>
          <w:caps w:val="false"/>
          <w:smallCaps w:val="false"/>
          <w:sz w:val="20"/>
        </w:rPr>
        <w:t>20.0 million. Sales under the Wainwright Sales Agreement may be made through methods deemed to be “at-the-market offerings,” as defined in Rule 415(a)(4) under the Securities Act of 1933, as amended, including sales made directly on or through the NYSE American or another existing trading market for the Company’s common stock. The Company is not obligated to sell any shares under the Wainwright Sales Agreement. Wainwright is required to use commercially reasonable efforts to sell shares in accordance with the Company’s instructions, subject to the terms and conditions of the Wainwright Sales Agreement. The Company will pay Wainwright a commission equal to 3.0% of the aggregate gross proceeds from shares sold under the Wainwright Sales Agreement. The shares issuable under the Wainwright Sales Agreement were registered pursuant to the Company’s shelf registration statement on Form S-3 (File No. 333-275843), which was declared effective by the Securities and Exchange Commission on December 12, 2023, and the related prospectus supplement dated July 27, 2026.</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July 31, 2026, the Company did not timely file its Annual Report on Form 10-K for the fiscal year ended April 30, 2026 within the extension period provided by Rule 12b-25. As a result, the Company is not currently eligible to use Form S-3 and, as of the date of this Quarterly Report on Form 10-Q, is unable to offer or sell additional shares under the Wainwright Sales Agreement pursuant to the Form S-3 registration statement and related prospectus supplement. The Company’s ability to conduct future sales under an at-the-market offering will be subject to its regaining eligibility to use its shelf registration on Form S-3, the availability of an effective registration statement and satisfaction of the other applicable legal and contractual requirements.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Debt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entered into a Securities Purchase Agreement (the “Purchase Agreement”) with certain institutional investors pursuant to which the Company issued and sold senior convertible notes (the “Notes”) in an aggregate principal amount of $</w:t>
      </w:r>
      <w:bookmarkStart w:id="565" w:name="xdx_90E_eus-gaap--DebtInstrumentFaceAmou"/>
      <w:bookmarkEnd w:id="565"/>
      <w:r>
        <w:rPr>
          <w:rFonts w:ascii="Times New Roman;Times;Serif" w:hAnsi="Times New Roman;Times;Serif"/>
          <w:b w:val="false"/>
          <w:i w:val="false"/>
          <w:caps w:val="false"/>
          <w:smallCaps w:val="false"/>
          <w:sz w:val="20"/>
        </w:rPr>
        <w:t>10.0 million, along with a 13% premium on the principal amount. The conversion rate related to this agreement is $</w:t>
      </w:r>
      <w:bookmarkStart w:id="566" w:name="xdx_905_eus-gaap--SharePrice_iI_pid_c202"/>
      <w:bookmarkEnd w:id="566"/>
      <w:r>
        <w:rPr>
          <w:rFonts w:ascii="Times New Roman;Times;Serif" w:hAnsi="Times New Roman;Times;Serif"/>
          <w:b w:val="false"/>
          <w:i w:val="false"/>
          <w:caps w:val="false"/>
          <w:smallCaps w:val="false"/>
          <w:sz w:val="20"/>
        </w:rPr>
        <w:t>12.00 per share. Proceeds from these Notes were used to pay off the remaining balances associated with the May and October 2025 convertible notes, respectively. Beginning on the closing date, the Notes are subject to quarterly cash amortization payments through maturity and monthly interest payments calculated on a 4.5% annual rate for the outstanding principal amount at the end of the previous month. Between the premium and annual interest rate, the effective interest rate on this Note is approximately 20%. The agreement also contains a make-whole interest whereby in connection with any conversion, redemption, or other repayment would result in an additional interest amount as if the principal remained outstanding through the maturity date. The Notes rank senior to the Company’s other unsecured indebtedness, subject to certain exceptions, and contain customary affirmative and negative covenants, including restrictions on indebtedness, liens, restricted payments, asset transfers, changes in business, and affiliate transactions, including a covenant requirement $</w:t>
      </w:r>
      <w:bookmarkStart w:id="567" w:name="xdx_904_ecustom--AggregatePrincipalAmoun"/>
      <w:bookmarkEnd w:id="567"/>
      <w:r>
        <w:rPr>
          <w:rFonts w:ascii="Times New Roman;Times;Serif" w:hAnsi="Times New Roman;Times;Serif"/>
          <w:b w:val="false"/>
          <w:i w:val="false"/>
          <w:caps w:val="false"/>
          <w:smallCaps w:val="false"/>
          <w:sz w:val="20"/>
        </w:rPr>
        <w:t>2.0 million minimum cash balance to be maintained. The Notes also contain customary events of default. The conversion of these notes into equity may occur at times and under pricing mechanisms that could lead to a substantial number of shares being issued, potentially at prices below prevailing market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timely file its Annual Report on Form 10-K as required under the reporting covenants of the Notes, which resulted in the Company not having an ongoing ATM program. As a result, the Company was technically not in compliance with these covenants as of the date of issuance of these consolidated financial statements. No notice of default has been received by the Company from its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July 31, 2026, the Notes could potentially be converted into approximately </w:t>
      </w:r>
      <w:bookmarkStart w:id="568" w:name="xdx_90A_eus-gaap--StockIssuedDuringPerio"/>
      <w:bookmarkEnd w:id="568"/>
      <w:r>
        <w:rPr>
          <w:rFonts w:ascii="Times New Roman;Times;Serif" w:hAnsi="Times New Roman;Times;Serif"/>
          <w:b w:val="false"/>
          <w:i w:val="false"/>
          <w:caps w:val="false"/>
          <w:smallCaps w:val="false"/>
          <w:sz w:val="20"/>
        </w:rPr>
        <w:t>733,334 shares. These shares are not included in the calculation of earnings per share as the impact of these conversions would be anti-dilutive. The conversions are at the election of the Note holders to be converted in shares but may also be repaid through cash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69" w:name="xdx_896_eus-gaap--ScheduleOfMaturitiesOf"/>
      <w:bookmarkEnd w:id="569"/>
      <w:r>
        <w:rPr>
          <w:rFonts w:ascii="Times New Roman;Times;Serif" w:hAnsi="Times New Roman;Times;Serif"/>
          <w:b w:val="false"/>
          <w:i w:val="false"/>
          <w:caps w:val="false"/>
          <w:smallCaps w:val="false"/>
          <w:sz w:val="20"/>
        </w:rPr>
        <w:t>Absent conversions, the total remaining debt maturity cash payments under the Company’s convertible debt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70" w:name="xdx_8B1_zC70XDQjYNwc"/>
      <w:bookmarkEnd w:id="570"/>
      <w:r>
        <w:rPr>
          <w:rFonts w:ascii="Times New Roman;Times;Serif" w:hAnsi="Times New Roman;Times;Serif"/>
          <w:b w:val="false"/>
          <w:i w:val="false"/>
          <w:caps w:val="false"/>
          <w:smallCaps w:val="false"/>
          <w:sz w:val="20"/>
        </w:rPr>
        <w:t>Schedule of Debt Maturity Cash Payments</w:t>
      </w:r>
    </w:p>
    <w:p>
      <w:pPr>
        <w:pStyle w:val="TextBody"/>
        <w:bidi w:val="0"/>
        <w:spacing w:before="0" w:after="0"/>
        <w:ind w:left="0" w:right="0" w:hanging="0"/>
        <w:jc w:val="both"/>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3530"/>
        <w:gridCol w:w="60"/>
        <w:gridCol w:w="271"/>
        <w:gridCol w:w="1084"/>
        <w:gridCol w:w="75"/>
      </w:tblGrid>
      <w:tr>
        <w:trPr/>
        <w:tc>
          <w:tcPr>
            <w:tcW w:w="35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571" w:name="xdx_497_20260731_zOZoZoqFrpfj"/>
            <w:bookmarkEnd w:id="571"/>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July 31, 2026</w:t>
            </w:r>
          </w:p>
        </w:tc>
        <w:tc>
          <w:tcPr>
            <w:tcW w:w="7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bookmarkStart w:id="572" w:name="xdx_408_eus-gaap--LongTermDebtMaturities"/>
            <w:bookmarkEnd w:id="572"/>
          </w:p>
        </w:tc>
      </w:tr>
      <w:tr>
        <w:trPr/>
        <w:tc>
          <w:tcPr>
            <w:tcW w:w="3530" w:type="dxa"/>
            <w:tcBorders/>
            <w:shd w:fill="CCEEFF" w:val="clear"/>
            <w:vAlign w:val="center"/>
          </w:tcPr>
          <w:p>
            <w:pPr>
              <w:pStyle w:val="TableContents"/>
              <w:bidi w:val="0"/>
              <w:spacing w:before="0" w:after="283"/>
              <w:jc w:val="both"/>
              <w:rPr/>
            </w:pPr>
            <w:r>
              <w:rPr/>
              <w:t>Fiscal year 2027</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1084" w:type="dxa"/>
            <w:tcBorders/>
            <w:shd w:fill="CCEEFF" w:val="clear"/>
            <w:vAlign w:val="center"/>
          </w:tcPr>
          <w:p>
            <w:pPr>
              <w:pStyle w:val="TableContents"/>
              <w:bidi w:val="0"/>
              <w:spacing w:before="0" w:after="283"/>
              <w:jc w:val="right"/>
              <w:rPr/>
            </w:pPr>
            <w:r>
              <w:rPr/>
              <w:t>6,066</w:t>
            </w:r>
          </w:p>
        </w:tc>
        <w:tc>
          <w:tcPr>
            <w:tcW w:w="75" w:type="dxa"/>
            <w:tcBorders/>
            <w:shd w:fill="CCEEFF" w:val="clear"/>
            <w:vAlign w:val="center"/>
          </w:tcPr>
          <w:p>
            <w:pPr>
              <w:pStyle w:val="TableContents"/>
              <w:bidi w:val="0"/>
              <w:spacing w:before="0" w:after="283"/>
              <w:jc w:val="left"/>
              <w:rPr/>
            </w:pPr>
            <w:r>
              <w:rPr/>
              <w:t> </w:t>
            </w:r>
            <w:bookmarkStart w:id="573" w:name="xdx_403_eus-gaap--LongTermDebtMaturities"/>
            <w:bookmarkEnd w:id="573"/>
          </w:p>
        </w:tc>
      </w:tr>
      <w:tr>
        <w:trPr/>
        <w:tc>
          <w:tcPr>
            <w:tcW w:w="3530" w:type="dxa"/>
            <w:tcBorders/>
            <w:shd w:fill="FFFFFF" w:val="clear"/>
            <w:vAlign w:val="center"/>
          </w:tcPr>
          <w:p>
            <w:pPr>
              <w:pStyle w:val="TableContents"/>
              <w:bidi w:val="0"/>
              <w:spacing w:before="0" w:after="283"/>
              <w:jc w:val="both"/>
              <w:rPr/>
            </w:pPr>
            <w:r>
              <w:rPr/>
              <w:t>Fiscal year 2028</w:t>
            </w:r>
          </w:p>
        </w:tc>
        <w:tc>
          <w:tcPr>
            <w:tcW w:w="60" w:type="dxa"/>
            <w:tcBorders/>
            <w:shd w:fill="FFFFFF" w:val="clear"/>
            <w:vAlign w:val="center"/>
          </w:tcPr>
          <w:p>
            <w:pPr>
              <w:pStyle w:val="TableContents"/>
              <w:bidi w:val="0"/>
              <w:spacing w:before="0" w:after="283"/>
              <w:jc w:val="left"/>
              <w:rPr/>
            </w:pPr>
            <w:r>
              <w:rPr/>
              <w:t> </w:t>
            </w:r>
          </w:p>
        </w:tc>
        <w:tc>
          <w:tcPr>
            <w:tcW w:w="2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pPr>
            <w:r>
              <w:rPr/>
              <w:t>3,844</w:t>
            </w:r>
          </w:p>
        </w:tc>
        <w:tc>
          <w:tcPr>
            <w:tcW w:w="75" w:type="dxa"/>
            <w:tcBorders/>
            <w:shd w:fill="FFFFFF" w:val="clear"/>
            <w:vAlign w:val="center"/>
          </w:tcPr>
          <w:p>
            <w:pPr>
              <w:pStyle w:val="TableContents"/>
              <w:bidi w:val="0"/>
              <w:spacing w:before="0" w:after="283"/>
              <w:jc w:val="left"/>
              <w:rPr/>
            </w:pPr>
            <w:r>
              <w:rPr/>
              <w:t> </w:t>
            </w:r>
            <w:bookmarkStart w:id="574" w:name="xdx_40F_eus-gaap--LongTermDebt_iTI_mtLTD"/>
            <w:bookmarkEnd w:id="574"/>
          </w:p>
        </w:tc>
      </w:tr>
      <w:tr>
        <w:trPr/>
        <w:tc>
          <w:tcPr>
            <w:tcW w:w="3530" w:type="dxa"/>
            <w:tcBorders/>
            <w:shd w:fill="CCEEFF" w:val="clear"/>
            <w:vAlign w:val="center"/>
          </w:tcPr>
          <w:p>
            <w:pPr>
              <w:pStyle w:val="TableContents"/>
              <w:bidi w:val="0"/>
              <w:spacing w:before="0" w:after="283"/>
              <w:jc w:val="both"/>
              <w:rPr/>
            </w:pPr>
            <w:r>
              <w:rPr/>
              <w:t>Total future minimum debt payments</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9,910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75" w:name="xdx_8A7_zMR2CHVv9GZ5"/>
      <w:bookmarkEnd w:id="575"/>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and Warrant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4, 2026, the Company entered into a Securities Purchase Agreement with certain institutional accredited investors in connection with a registered direct offering. The offering closed on June 8, 2026, at which time the Company issued </w:t>
      </w:r>
      <w:bookmarkStart w:id="576" w:name="xdx_90F_eus-gaap--StockIssuedDuringPerio"/>
      <w:bookmarkEnd w:id="576"/>
      <w:r>
        <w:rPr>
          <w:rFonts w:ascii="Times New Roman;Times;Serif" w:hAnsi="Times New Roman;Times;Serif"/>
          <w:b w:val="false"/>
          <w:i w:val="false"/>
          <w:caps w:val="false"/>
          <w:smallCaps w:val="false"/>
          <w:sz w:val="20"/>
        </w:rPr>
        <w:t xml:space="preserve">833,334 shares of its common stock together with warrants to purchase up to an aggregate of </w:t>
      </w:r>
      <w:bookmarkStart w:id="577" w:name="xdx_905_eus-gaap--ClassOfWarrantOrRightO"/>
      <w:bookmarkEnd w:id="577"/>
      <w:r>
        <w:rPr>
          <w:rFonts w:ascii="Times New Roman;Times;Serif" w:hAnsi="Times New Roman;Times;Serif"/>
          <w:b w:val="false"/>
          <w:i w:val="false"/>
          <w:caps w:val="false"/>
          <w:smallCaps w:val="false"/>
          <w:sz w:val="20"/>
        </w:rPr>
        <w:t>833,334 additional shares of common stock (the “Warrants”). The combined purchase price for each share of common stock and accompanying Warrant was $</w:t>
      </w:r>
      <w:bookmarkStart w:id="578" w:name="xdx_90C_eus-gaap--SharePrice_iI_pid_c202"/>
      <w:bookmarkEnd w:id="578"/>
      <w:r>
        <w:rPr>
          <w:rFonts w:ascii="Times New Roman;Times;Serif" w:hAnsi="Times New Roman;Times;Serif"/>
          <w:b w:val="false"/>
          <w:i w:val="false"/>
          <w:caps w:val="false"/>
          <w:smallCaps w:val="false"/>
          <w:sz w:val="20"/>
        </w:rPr>
        <w:t>12.00.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gross proceeds of $</w:t>
      </w:r>
      <w:bookmarkStart w:id="579" w:name="xdx_90F_ecustom--GrossProceedsFromIssuan"/>
      <w:bookmarkEnd w:id="579"/>
      <w:r>
        <w:rPr>
          <w:rFonts w:ascii="Times New Roman;Times;Serif" w:hAnsi="Times New Roman;Times;Serif"/>
          <w:b w:val="false"/>
          <w:i w:val="false"/>
          <w:caps w:val="false"/>
          <w:smallCaps w:val="false"/>
          <w:sz w:val="20"/>
        </w:rPr>
        <w:t>10.0 million and net proceeds of approximately $</w:t>
      </w:r>
      <w:bookmarkStart w:id="580" w:name="xdx_904_eus-gaap--ProceedsFromIssuanceOf"/>
      <w:bookmarkEnd w:id="580"/>
      <w:r>
        <w:rPr>
          <w:rFonts w:ascii="Times New Roman;Times;Serif" w:hAnsi="Times New Roman;Times;Serif"/>
          <w:b w:val="false"/>
          <w:i w:val="false"/>
          <w:caps w:val="false"/>
          <w:smallCaps w:val="false"/>
          <w:sz w:val="20"/>
        </w:rPr>
        <w:t>9.3 million after placement-agent fees and other offering expenses of approximately $</w:t>
      </w:r>
      <w:bookmarkStart w:id="581" w:name="xdx_902_eus-gaap--PaymentsForFees_pn5n6_"/>
      <w:bookmarkEnd w:id="581"/>
      <w:r>
        <w:rPr>
          <w:rFonts w:ascii="Times New Roman;Times;Serif" w:hAnsi="Times New Roman;Times;Serif"/>
          <w:b w:val="false"/>
          <w:i w:val="false"/>
          <w:caps w:val="false"/>
          <w:smallCaps w:val="false"/>
          <w:sz w:val="20"/>
        </w:rPr>
        <w:t>0.7 million. The Company used approximately $</w:t>
      </w:r>
      <w:bookmarkStart w:id="582" w:name="xdx_902_eus-gaap--PaymentsForFees_pn5n6_"/>
      <w:bookmarkEnd w:id="582"/>
      <w:r>
        <w:rPr>
          <w:rFonts w:ascii="Times New Roman;Times;Serif" w:hAnsi="Times New Roman;Times;Serif"/>
          <w:b w:val="false"/>
          <w:i w:val="false"/>
          <w:caps w:val="false"/>
          <w:smallCaps w:val="false"/>
          <w:sz w:val="20"/>
        </w:rPr>
        <w:t>0.7 million of the net proceeds to repay principal and other amounts due under its convertible notes payable, with the remaining proceeds available for working capital and other general corporate purposes.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have an initial exercise price of $</w:t>
      </w:r>
      <w:bookmarkStart w:id="583" w:name="xdx_908_eus-gaap--StockOptionExercisePri"/>
      <w:bookmarkEnd w:id="583"/>
      <w:r>
        <w:rPr>
          <w:rFonts w:ascii="Times New Roman;Times;Serif" w:hAnsi="Times New Roman;Times;Serif"/>
          <w:b w:val="false"/>
          <w:i w:val="false"/>
          <w:caps w:val="false"/>
          <w:smallCaps w:val="false"/>
          <w:sz w:val="20"/>
        </w:rPr>
        <w:t>12.00 per share, become exercisable on December 8, 2026, and expire on December 8, 2032. The exercise price and number of shares issuable upon exercise are subject to adjustment for stock splits, stock dividends and similar transactions. The Warrants contain beneficial-ownership limitations and provisions applicable upon a fundamental transaction, including provisions under which holders may be entitled to receive consideration based on the Black-Scholes value of the Warrants. The terms of the agreement stipulate that the Black-Scholes model utilize the greater of a) 100%, b) the 30-day volatility of the Company’s common stock, c) the 100-day volatility of the Company’s common stock, or d) the 365-day volatility of the Company’s common stock. Additionally, the price per share to be used in the Black-Scholes model is to be the greater of the sum of the price per share being offered in cash, if any, plus the value of any non-cash consideration, if any being offered in the fundamental transaction and the highest volume-weighted average price for the Company’s common stock during the period beginning on the trading day immediately preceding the announcement of the fundamental transaction (or the consummation of the fundamental transaction, if earlier) and ending on the trading day of the holder’s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evaluated the Warrants in accordance with ASC 815-40, </w:t>
      </w:r>
      <w:r>
        <w:rPr>
          <w:rFonts w:ascii="Times New Roman;Times;Serif" w:hAnsi="Times New Roman;Times;Serif"/>
          <w:b w:val="false"/>
          <w:i/>
          <w:caps w:val="false"/>
          <w:smallCaps w:val="false"/>
          <w:sz w:val="20"/>
        </w:rPr>
        <w:t>Derivatives and Hedging—Contracts in Entity’s Own Equity</w:t>
      </w:r>
      <w:r>
        <w:rPr>
          <w:rFonts w:ascii="Times New Roman;Times;Serif" w:hAnsi="Times New Roman;Times;Serif"/>
          <w:b w:val="false"/>
          <w:i w:val="false"/>
          <w:caps w:val="false"/>
          <w:smallCaps w:val="false"/>
          <w:sz w:val="20"/>
        </w:rPr>
        <w:t>, and concluded that the Warrants do not meet all of the requirements for equity classification. Accordingly, the Warrants are accounted for as derivative liabilities. The Warrants were initially recognized at fair value on the issuance date and are subsequently remeasured at fair value at each reporting date. Changes in the fair value of the Warrant liability are recognized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8, 2026, the initial fair value of the Warrants was approximately $</w:t>
      </w:r>
      <w:bookmarkStart w:id="584" w:name="xdx_908_eus-gaap--FairValueHedgeLiabilit"/>
      <w:bookmarkEnd w:id="584"/>
      <w:r>
        <w:rPr>
          <w:rFonts w:ascii="Times New Roman;Times;Serif" w:hAnsi="Times New Roman;Times;Serif"/>
          <w:b w:val="false"/>
          <w:i w:val="false"/>
          <w:caps w:val="false"/>
          <w:smallCaps w:val="false"/>
          <w:sz w:val="20"/>
        </w:rPr>
        <w:t>8.7 million. The Company allocated an equivalent amount of the gross proceeds to the Warrant liability, with the remaining proceeds allocated to common stock and additional paid-in capital. Offering costs were allocated between the common stock and the Warrant liability based on their relative fair values. Offering costs of less than $</w:t>
      </w:r>
      <w:bookmarkStart w:id="585" w:name="xdx_907_eus-gaap--PaymentsOfStockIssuanc"/>
      <w:bookmarkEnd w:id="585"/>
      <w:r>
        <w:rPr>
          <w:rFonts w:ascii="Times New Roman;Times;Serif" w:hAnsi="Times New Roman;Times;Serif"/>
          <w:b w:val="false"/>
          <w:i w:val="false"/>
          <w:caps w:val="false"/>
          <w:smallCaps w:val="false"/>
          <w:sz w:val="20"/>
        </w:rPr>
        <w:t>0.1 million attributable to the common stock were recorded as a reduction of additional paid-in capital, and offering costs of approximately $</w:t>
      </w:r>
      <w:bookmarkStart w:id="586" w:name="xdx_907_eus-gaap--AdjustmentsToAdditiona"/>
      <w:bookmarkEnd w:id="586"/>
      <w:r>
        <w:rPr>
          <w:rFonts w:ascii="Times New Roman;Times;Serif" w:hAnsi="Times New Roman;Times;Serif"/>
          <w:b w:val="false"/>
          <w:i w:val="false"/>
          <w:caps w:val="false"/>
          <w:smallCaps w:val="false"/>
          <w:sz w:val="20"/>
        </w:rPr>
        <w:t>0.6 million attributable to the Warrant liability were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fair value of the Warrant liability using a Black-Scholes option-pricing model. The Warrant liability is classified within Level 3 of the fair value hierarchy because the valuation incorporates significant unobservable inputs, principally expected stock-price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7" w:name="xdx_899_eus-gaap--ScheduleOfShareBasedPa"/>
      <w:bookmarkEnd w:id="587"/>
      <w:r>
        <w:rPr>
          <w:rFonts w:ascii="Times New Roman;Times;Serif" w:hAnsi="Times New Roman;Times;Serif"/>
          <w:b w:val="false"/>
          <w:i w:val="false"/>
          <w:caps w:val="false"/>
          <w:smallCaps w:val="false"/>
          <w:sz w:val="20"/>
        </w:rPr>
        <w:t>The following table summarizes the assumptions used to estimate the fair value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88" w:name="xdx_8B9_zTJytnW8JKi3"/>
      <w:bookmarkEnd w:id="588"/>
      <w:r>
        <w:rPr>
          <w:rFonts w:ascii="Times New Roman;Times;Serif" w:hAnsi="Times New Roman;Times;Serif"/>
          <w:b w:val="false"/>
          <w:i w:val="false"/>
          <w:caps w:val="false"/>
          <w:smallCaps w:val="false"/>
          <w:sz w:val="20"/>
        </w:rPr>
        <w:t>Schedule of Assumptions Used to Estimate the Fair Value of the Warrants</w:t>
      </w:r>
    </w:p>
    <w:tbl>
      <w:tblPr>
        <w:tblW w:w="6038" w:type="dxa"/>
        <w:jc w:val="left"/>
        <w:tblInd w:w="0" w:type="dxa"/>
        <w:tblLayout w:type="fixed"/>
        <w:tblCellMar>
          <w:top w:w="0" w:type="dxa"/>
          <w:left w:w="0" w:type="dxa"/>
          <w:bottom w:w="0" w:type="dxa"/>
          <w:right w:w="0" w:type="dxa"/>
        </w:tblCellMar>
      </w:tblPr>
      <w:tblGrid>
        <w:gridCol w:w="2825"/>
        <w:gridCol w:w="60"/>
        <w:gridCol w:w="161"/>
        <w:gridCol w:w="1133"/>
        <w:gridCol w:w="215"/>
        <w:gridCol w:w="60"/>
        <w:gridCol w:w="169"/>
        <w:gridCol w:w="1185"/>
        <w:gridCol w:w="230"/>
      </w:tblGrid>
      <w:tr>
        <w:trPr/>
        <w:tc>
          <w:tcPr>
            <w:tcW w:w="2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8,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July 31, 2026</w:t>
            </w:r>
          </w:p>
        </w:tc>
        <w:tc>
          <w:tcPr>
            <w:tcW w:w="230"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both"/>
              <w:rPr/>
            </w:pPr>
            <w:r>
              <w:rPr/>
              <w:t>Common stock price VWAP</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133" w:type="dxa"/>
            <w:tcBorders/>
            <w:shd w:fill="CCEEFF" w:val="clear"/>
            <w:vAlign w:val="center"/>
          </w:tcPr>
          <w:p>
            <w:pPr>
              <w:pStyle w:val="TableContents"/>
              <w:bidi w:val="0"/>
              <w:spacing w:before="0" w:after="283"/>
              <w:jc w:val="right"/>
              <w:rPr/>
            </w:pPr>
            <w:bookmarkStart w:id="589" w:name="xdx_90C_eus-gaap--WarrantsAndRightsOutst"/>
            <w:bookmarkEnd w:id="589"/>
            <w:r>
              <w:rPr/>
              <w:t>11.70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bookmarkStart w:id="590" w:name="xdx_907_eus-gaap--WarrantsAndRightsOutst"/>
            <w:bookmarkEnd w:id="590"/>
            <w:r>
              <w:rPr/>
              <w:t>5.40</w:t>
            </w:r>
          </w:p>
        </w:tc>
        <w:tc>
          <w:tcPr>
            <w:tcW w:w="23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both"/>
              <w:rPr/>
            </w:pPr>
            <w:r>
              <w:rPr/>
              <w:t>Exercise price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w:t>
            </w:r>
          </w:p>
        </w:tc>
        <w:tc>
          <w:tcPr>
            <w:tcW w:w="1133" w:type="dxa"/>
            <w:tcBorders/>
            <w:shd w:fill="FFFFFF" w:val="clear"/>
            <w:vAlign w:val="center"/>
          </w:tcPr>
          <w:p>
            <w:pPr>
              <w:pStyle w:val="TableContents"/>
              <w:bidi w:val="0"/>
              <w:spacing w:before="0" w:after="283"/>
              <w:jc w:val="right"/>
              <w:rPr/>
            </w:pPr>
            <w:bookmarkStart w:id="591" w:name="xdx_90F_eus-gaap--WarrantsAndRightsOutst"/>
            <w:bookmarkEnd w:id="591"/>
            <w:r>
              <w:rPr/>
              <w:t>12.00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1185" w:type="dxa"/>
            <w:tcBorders/>
            <w:shd w:fill="FFFFFF" w:val="clear"/>
            <w:vAlign w:val="center"/>
          </w:tcPr>
          <w:p>
            <w:pPr>
              <w:pStyle w:val="TableContents"/>
              <w:bidi w:val="0"/>
              <w:spacing w:before="0" w:after="283"/>
              <w:jc w:val="right"/>
              <w:rPr/>
            </w:pPr>
            <w:bookmarkStart w:id="592" w:name="xdx_90E_eus-gaap--WarrantsAndRightsOutst"/>
            <w:bookmarkEnd w:id="592"/>
            <w:r>
              <w:rPr/>
              <w:t>12.00</w:t>
            </w:r>
          </w:p>
        </w:tc>
        <w:tc>
          <w:tcPr>
            <w:tcW w:w="230"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both"/>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pPr>
            <w:bookmarkStart w:id="593" w:name="xdx_90C_eus-gaap--WarrantsAndRightsOutst"/>
            <w:bookmarkEnd w:id="593"/>
            <w:r>
              <w:rPr/>
              <w:t>120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bookmarkStart w:id="594" w:name="xdx_908_eus-gaap--WarrantsAndRightsOutst"/>
            <w:bookmarkEnd w:id="594"/>
            <w:r>
              <w:rPr/>
              <w:t>121</w:t>
            </w:r>
          </w:p>
        </w:tc>
        <w:tc>
          <w:tcPr>
            <w:tcW w:w="230" w:type="dxa"/>
            <w:tcBorders/>
            <w:shd w:fill="CCEEFF" w:val="clear"/>
            <w:vAlign w:val="center"/>
          </w:tcPr>
          <w:p>
            <w:pPr>
              <w:pStyle w:val="TableContents"/>
              <w:bidi w:val="0"/>
              <w:spacing w:before="0" w:after="283"/>
              <w:jc w:val="left"/>
              <w:rPr/>
            </w:pPr>
            <w:r>
              <w:rPr/>
              <w:t>%</w:t>
            </w:r>
          </w:p>
        </w:tc>
      </w:tr>
      <w:tr>
        <w:trPr/>
        <w:tc>
          <w:tcPr>
            <w:tcW w:w="2825" w:type="dxa"/>
            <w:tcBorders/>
            <w:shd w:fill="FFFFFF" w:val="clear"/>
            <w:vAlign w:val="center"/>
          </w:tcPr>
          <w:p>
            <w:pPr>
              <w:pStyle w:val="TableContents"/>
              <w:bidi w:val="0"/>
              <w:spacing w:before="0" w:after="283"/>
              <w:jc w:val="both"/>
              <w:rPr/>
            </w:pPr>
            <w:r>
              <w:rPr/>
              <w:t>Risk-free interest rate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bookmarkStart w:id="595" w:name="xdx_90D_eus-gaap--WarrantsAndRightsOutst"/>
            <w:bookmarkEnd w:id="595"/>
            <w:r>
              <w:rPr/>
              <w:t>4.27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bookmarkStart w:id="596" w:name="xdx_90F_eus-gaap--WarrantsAndRightsOutst"/>
            <w:bookmarkEnd w:id="596"/>
            <w:r>
              <w:rPr/>
              <w:t>4.56</w:t>
            </w:r>
          </w:p>
        </w:tc>
        <w:tc>
          <w:tcPr>
            <w:tcW w:w="230" w:type="dxa"/>
            <w:tcBorders/>
            <w:shd w:fill="FFFFFF" w:val="clear"/>
            <w:vAlign w:val="center"/>
          </w:tcPr>
          <w:p>
            <w:pPr>
              <w:pStyle w:val="TableContents"/>
              <w:bidi w:val="0"/>
              <w:spacing w:before="0" w:after="283"/>
              <w:jc w:val="left"/>
              <w:rPr/>
            </w:pPr>
            <w:r>
              <w:rPr/>
              <w:t>%</w:t>
            </w:r>
          </w:p>
        </w:tc>
      </w:tr>
      <w:tr>
        <w:trPr/>
        <w:tc>
          <w:tcPr>
            <w:tcW w:w="2825" w:type="dxa"/>
            <w:tcBorders/>
            <w:shd w:fill="CCEEFF" w:val="clear"/>
            <w:vAlign w:val="center"/>
          </w:tcPr>
          <w:p>
            <w:pPr>
              <w:pStyle w:val="TableContents"/>
              <w:bidi w:val="0"/>
              <w:spacing w:before="0" w:after="283"/>
              <w:jc w:val="both"/>
              <w:rPr/>
            </w:pPr>
            <w:r>
              <w:rPr/>
              <w:t>Expected remaining term</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right"/>
              <w:rPr>
                <w:rFonts w:ascii="Times New Roman;Times;Serif" w:hAnsi="Times New Roman;Times;Serif"/>
                <w:sz w:val="20"/>
              </w:rPr>
            </w:pPr>
            <w:bookmarkStart w:id="597" w:name="xdx_905_eus-gaap--WarrantsAndRightsOutst"/>
            <w:bookmarkEnd w:id="597"/>
            <w:r>
              <w:rPr>
                <w:rFonts w:ascii="Times New Roman;Times;Serif" w:hAnsi="Times New Roman;Times;Serif"/>
                <w:sz w:val="20"/>
              </w:rPr>
              <w:t>6.5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rFonts w:ascii="Times New Roman;Times;Serif" w:hAnsi="Times New Roman;Times;Serif"/>
                <w:sz w:val="20"/>
              </w:rPr>
            </w:pPr>
            <w:bookmarkStart w:id="598" w:name="xdx_90E_eus-gaap--WarrantsAndRightsOutst"/>
            <w:bookmarkEnd w:id="598"/>
            <w:r>
              <w:rPr>
                <w:rFonts w:ascii="Times New Roman;Times;Serif" w:hAnsi="Times New Roman;Times;Serif"/>
                <w:sz w:val="20"/>
              </w:rPr>
              <w:t>6.3 years</w:t>
            </w:r>
          </w:p>
        </w:tc>
        <w:tc>
          <w:tcPr>
            <w:tcW w:w="230"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both"/>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pPr>
            <w:bookmarkStart w:id="599" w:name="xdx_90C_eus-gaap--WarrantsAndRightsOutst"/>
            <w:bookmarkEnd w:id="599"/>
            <w:r>
              <w:rPr/>
              <w:t>—</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bookmarkStart w:id="600" w:name="xdx_907_eus-gaap--WarrantsAndRightsOutst"/>
            <w:bookmarkEnd w:id="600"/>
            <w:r>
              <w:rPr/>
              <w:t>—</w:t>
            </w:r>
          </w:p>
        </w:tc>
        <w:tc>
          <w:tcPr>
            <w:tcW w:w="230" w:type="dxa"/>
            <w:tcBorders/>
            <w:shd w:fill="FFFFFF" w:val="clear"/>
            <w:vAlign w:val="center"/>
          </w:tcPr>
          <w:p>
            <w:pPr>
              <w:pStyle w:val="TableContents"/>
              <w:bidi w:val="0"/>
              <w:spacing w:before="0" w:after="283"/>
              <w:jc w:val="left"/>
              <w:rPr/>
            </w:pPr>
            <w:r>
              <w:rPr/>
              <w:t>%</w:t>
            </w:r>
          </w:p>
        </w:tc>
      </w:tr>
      <w:tr>
        <w:trPr/>
        <w:tc>
          <w:tcPr>
            <w:tcW w:w="2825" w:type="dxa"/>
            <w:tcBorders/>
            <w:shd w:fill="CCEEFF" w:val="clear"/>
            <w:vAlign w:val="center"/>
          </w:tcPr>
          <w:p>
            <w:pPr>
              <w:pStyle w:val="TableContents"/>
              <w:bidi w:val="0"/>
              <w:spacing w:before="0" w:after="283"/>
              <w:jc w:val="both"/>
              <w:rPr/>
            </w:pPr>
            <w:r>
              <w:rPr/>
              <w:t>Fair value of Warrant liability</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133" w:type="dxa"/>
            <w:tcBorders/>
            <w:shd w:fill="CCEEFF" w:val="clear"/>
            <w:vAlign w:val="center"/>
          </w:tcPr>
          <w:p>
            <w:pPr>
              <w:pStyle w:val="TableContents"/>
              <w:bidi w:val="0"/>
              <w:spacing w:before="0" w:after="283"/>
              <w:jc w:val="right"/>
              <w:rPr/>
            </w:pPr>
            <w:bookmarkStart w:id="601" w:name="xdx_902_eus-gaap--DebtInstrumentFairValu"/>
            <w:bookmarkEnd w:id="601"/>
            <w:r>
              <w:rPr/>
              <w:t>8,663,000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1185" w:type="dxa"/>
            <w:tcBorders/>
            <w:shd w:fill="CCEEFF" w:val="clear"/>
            <w:vAlign w:val="center"/>
          </w:tcPr>
          <w:p>
            <w:pPr>
              <w:pStyle w:val="TableContents"/>
              <w:bidi w:val="0"/>
              <w:spacing w:before="0" w:after="283"/>
              <w:jc w:val="right"/>
              <w:rPr/>
            </w:pPr>
            <w:bookmarkStart w:id="602" w:name="xdx_90D_eus-gaap--DebtInstrumentFairValu"/>
            <w:bookmarkEnd w:id="602"/>
            <w:r>
              <w:rPr/>
              <w:t>3,756,000</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03" w:name="xdx_8A7_zysmE2unkH8g"/>
      <w:bookmarkEnd w:id="60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July 31, 2026, the Company recognized a gain of approximately $</w:t>
      </w:r>
      <w:bookmarkStart w:id="604" w:name="xdx_902_eus-gaap--FairValueLiabilitiesMe"/>
      <w:bookmarkEnd w:id="604"/>
      <w:r>
        <w:rPr>
          <w:rFonts w:ascii="Times New Roman;Times;Serif" w:hAnsi="Times New Roman;Times;Serif"/>
          <w:b w:val="false"/>
          <w:i w:val="false"/>
          <w:caps w:val="false"/>
          <w:smallCaps w:val="false"/>
          <w:sz w:val="20"/>
        </w:rPr>
        <w:t>4.9 million resulting from the change in fair value of the Warrant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July 31, 2026, all </w:t>
      </w:r>
      <w:bookmarkStart w:id="605" w:name="xdx_90B_eus-gaap--ClassOfWarrantOrRightO"/>
      <w:bookmarkEnd w:id="605"/>
      <w:r>
        <w:rPr>
          <w:rFonts w:ascii="Times New Roman;Times;Serif" w:hAnsi="Times New Roman;Times;Serif"/>
          <w:b w:val="false"/>
          <w:i w:val="false"/>
          <w:caps w:val="false"/>
          <w:smallCaps w:val="false"/>
          <w:sz w:val="20"/>
        </w:rPr>
        <w:t xml:space="preserve">833,334 Warrants remained outstanding and </w:t>
      </w:r>
      <w:bookmarkStart w:id="606" w:name="xdx_907_eus-gaap--ShareBasedCompensation"/>
      <w:bookmarkEnd w:id="606"/>
      <w:r>
        <w:rPr>
          <w:rFonts w:ascii="Times New Roman;Times;Serif" w:hAnsi="Times New Roman;Times;Serif"/>
          <w:b w:val="false"/>
          <w:i w:val="false"/>
          <w:caps w:val="false"/>
          <w:smallCaps w:val="false"/>
          <w:sz w:val="20"/>
        </w:rPr>
        <w:t>no Warrants had been exercised. If all Warrants are exercised for cash at the initial exercise price, the Company would receive additional gross proceeds of $</w:t>
      </w:r>
      <w:bookmarkStart w:id="607" w:name="xdx_90F_ecustom--GrossProceedsFromIssuan"/>
      <w:bookmarkEnd w:id="607"/>
      <w:r>
        <w:rPr>
          <w:rFonts w:ascii="Times New Roman;Times;Serif" w:hAnsi="Times New Roman;Times;Serif"/>
          <w:b w:val="false"/>
          <w:i w:val="false"/>
          <w:caps w:val="false"/>
          <w:smallCaps w:val="false"/>
          <w:sz w:val="20"/>
        </w:rPr>
        <w:t>10.0 million. However, the Warrants may be exercised on a cashless basis under certain circumstances, and there can be no assurance that any Warrants will be exercised or that the Company will receive any additional cash proceeds.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8" w:name="xdx_80E_eus-gaap--BusinessCombinationDis"/>
      <w:bookmarkEnd w:id="608"/>
      <w:r>
        <w:rPr>
          <w:rFonts w:ascii="Times New Roman;Times;Serif" w:hAnsi="Times New Roman;Times;Serif"/>
          <w:b/>
          <w:i w:val="false"/>
          <w:caps w:val="false"/>
          <w:smallCaps w:val="false"/>
          <w:sz w:val="20"/>
        </w:rPr>
        <w:t xml:space="preserve">(14) </w:t>
      </w:r>
      <w:bookmarkStart w:id="609" w:name="xdx_820_zOomwqW8Owtl"/>
      <w:bookmarkEnd w:id="609"/>
      <w:r>
        <w:rPr>
          <w:rFonts w:ascii="Times New Roman;Times;Serif" w:hAnsi="Times New Roman;Times;Serif"/>
          <w:b/>
          <w:i w:val="false"/>
          <w:caps w:val="false"/>
          <w:smallCaps w:val="false"/>
          <w:sz w:val="20"/>
        </w:rPr>
        <w:t>Acquisition of In-Process Research and Development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the Company entered into and closed an Asset Purchase Agreement with Columbia Power Technologies, Inc. (“C-Power”), pursuant to which the Company acquired certain intellectual property, engineering materials, and developmental work related to a subsurface wave energy converter technology known as “SubWEC”. The Company also obtained a license to certain background intellectual property used in connection with the acquired technology. The acquired technology is intended to support the Company’s development of subsea power capabilities and complement its existing offshore power and autonomous maritime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consideration for the acquired assets, the Company issued </w:t>
      </w:r>
      <w:bookmarkStart w:id="610" w:name="xdx_909_eus-gaap--BusinessAcquisitionEqu"/>
      <w:bookmarkEnd w:id="610"/>
      <w:r>
        <w:rPr>
          <w:rFonts w:ascii="Times New Roman;Times;Serif" w:hAnsi="Times New Roman;Times;Serif"/>
          <w:b w:val="false"/>
          <w:i w:val="false"/>
          <w:caps w:val="false"/>
          <w:smallCaps w:val="false"/>
          <w:sz w:val="20"/>
        </w:rPr>
        <w:t>366,162 restricted shares of its common stock to C-Power. The number of shares issued was determined using a contractually agreed value of $</w:t>
      </w:r>
      <w:bookmarkStart w:id="611" w:name="xdx_908_eus-gaap--BusinessAcquisitionEqu"/>
      <w:bookmarkEnd w:id="611"/>
      <w:r>
        <w:rPr>
          <w:rFonts w:ascii="Times New Roman;Times;Serif" w:hAnsi="Times New Roman;Times;Serif"/>
          <w:b w:val="false"/>
          <w:i w:val="false"/>
          <w:caps w:val="false"/>
          <w:smallCaps w:val="false"/>
          <w:sz w:val="20"/>
        </w:rPr>
        <w:t>2.9 million and a trailing 30-day volume-weighted average price of approximately $</w:t>
      </w:r>
      <w:bookmarkStart w:id="612" w:name="xdx_906_eus-gaap--SharePrice_iI_c2026072"/>
      <w:bookmarkEnd w:id="612"/>
      <w:r>
        <w:rPr>
          <w:rFonts w:ascii="Times New Roman;Times;Serif" w:hAnsi="Times New Roman;Times;Serif"/>
          <w:b w:val="false"/>
          <w:i w:val="false"/>
          <w:caps w:val="false"/>
          <w:smallCaps w:val="false"/>
          <w:sz w:val="20"/>
        </w:rPr>
        <w:t>8.10 per share. The Company also paid C-Power $</w:t>
      </w:r>
      <w:bookmarkStart w:id="613" w:name="xdx_90F_ecustom--BusinessCombinationAcqu"/>
      <w:bookmarkEnd w:id="613"/>
      <w:r>
        <w:rPr>
          <w:rFonts w:ascii="Times New Roman;Times;Serif" w:hAnsi="Times New Roman;Times;Serif"/>
          <w:b w:val="false"/>
          <w:i w:val="false"/>
          <w:caps w:val="false"/>
          <w:smallCaps w:val="false"/>
          <w:sz w:val="20"/>
        </w:rPr>
        <w:t>0.1 million in cash as reimbursement of certain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accounting purposes, the common stock issued was measured at its acquisition-date fair value rather than the historical volume-weighted average price used to determine the number of shares issued. Based on the quoted market price of the Company’s common stock of $</w:t>
      </w:r>
      <w:bookmarkStart w:id="614" w:name="xdx_90B_eus-gaap--SharePrice_iI_c2026072"/>
      <w:bookmarkEnd w:id="614"/>
      <w:r>
        <w:rPr>
          <w:rFonts w:ascii="Times New Roman;Times;Serif" w:hAnsi="Times New Roman;Times;Serif"/>
          <w:b w:val="false"/>
          <w:i w:val="false"/>
          <w:caps w:val="false"/>
          <w:smallCaps w:val="false"/>
          <w:sz w:val="20"/>
        </w:rPr>
        <w:t xml:space="preserve">5.40 per share on July 22, 2026, the </w:t>
      </w:r>
      <w:bookmarkStart w:id="615" w:name="xdx_901_eus-gaap--BusinessAcquisitionEqu"/>
      <w:bookmarkEnd w:id="615"/>
      <w:r>
        <w:rPr>
          <w:rFonts w:ascii="Times New Roman;Times;Serif" w:hAnsi="Times New Roman;Times;Serif"/>
          <w:b w:val="false"/>
          <w:i w:val="false"/>
          <w:caps w:val="false"/>
          <w:smallCaps w:val="false"/>
          <w:sz w:val="20"/>
        </w:rPr>
        <w:t>366,162 shares had a fair value of approximately $</w:t>
      </w:r>
      <w:bookmarkStart w:id="616" w:name="xdx_90C_eus-gaap--ResearchAndDevelopment"/>
      <w:bookmarkEnd w:id="616"/>
      <w:r>
        <w:rPr>
          <w:rFonts w:ascii="Times New Roman;Times;Serif" w:hAnsi="Times New Roman;Times;Serif"/>
          <w:b w:val="false"/>
          <w:i w:val="false"/>
          <w:caps w:val="false"/>
          <w:smallCaps w:val="false"/>
          <w:sz w:val="20"/>
        </w:rPr>
        <w:t>2.0 million on the acquisition date. Including the $</w:t>
      </w:r>
      <w:bookmarkStart w:id="617" w:name="xdx_90C_ecustom--BusinessCombinationAcqu"/>
      <w:bookmarkEnd w:id="617"/>
      <w:r>
        <w:rPr>
          <w:rFonts w:ascii="Times New Roman;Times;Serif" w:hAnsi="Times New Roman;Times;Serif"/>
          <w:b w:val="false"/>
          <w:i w:val="false"/>
          <w:caps w:val="false"/>
          <w:smallCaps w:val="false"/>
          <w:sz w:val="20"/>
        </w:rPr>
        <w:t>0.1 million cash payment and approximately $</w:t>
      </w:r>
      <w:bookmarkStart w:id="618" w:name="xdx_90D_eus-gaap--BusinessAcquisitionCos"/>
      <w:bookmarkEnd w:id="618"/>
      <w:r>
        <w:rPr>
          <w:rFonts w:ascii="Times New Roman;Times;Serif" w:hAnsi="Times New Roman;Times;Serif"/>
          <w:b w:val="false"/>
          <w:i w:val="false"/>
          <w:caps w:val="false"/>
          <w:smallCaps w:val="false"/>
          <w:sz w:val="20"/>
        </w:rPr>
        <w:t>0.1 million of direct transaction costs, the total accounting cost of the acquisition was approximately $</w:t>
      </w:r>
      <w:bookmarkStart w:id="619" w:name="xdx_904_eus-gaap--ResearchAndDevelopment"/>
      <w:bookmarkEnd w:id="619"/>
      <w:r>
        <w:rPr>
          <w:rFonts w:ascii="Times New Roman;Times;Serif" w:hAnsi="Times New Roman;Times;Serif"/>
          <w:b w:val="false"/>
          <w:i w:val="false"/>
          <w:caps w:val="false"/>
          <w:smallCaps w:val="false"/>
          <w:sz w:val="20"/>
        </w:rPr>
        <w:t>2.2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 between the $</w:t>
      </w:r>
      <w:bookmarkStart w:id="620" w:name="xdx_90C_eus-gaap--BusinessAcquisitionEqu"/>
      <w:bookmarkEnd w:id="620"/>
      <w:r>
        <w:rPr>
          <w:rFonts w:ascii="Times New Roman;Times;Serif" w:hAnsi="Times New Roman;Times;Serif"/>
          <w:b w:val="false"/>
          <w:i w:val="false"/>
          <w:caps w:val="false"/>
          <w:smallCaps w:val="false"/>
          <w:sz w:val="20"/>
        </w:rPr>
        <w:t>2.9 million contractual reference value and the acquisition-date fair value of the shares resulted from the use of the trailing 30-day volume-weighted average price to establish the fixed number of shares issued and the subsequent change in the Company’s stock price. No gain or loss was recognized as a result of this difference.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evaluated the acquired set under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and concluded that it did not constitute a business because the acquired set did not include an assembled workforce or a substantive process capable of significantly contributing to the creation of outputs. Accordingly, the transaction was accounted for as an asset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acquisition date, the acquired technology remained under development, had not reached technological feasibility and required substantive additional research, engineering, integration and testing before it could be available for its intended commercial use. The Company determined that the acquired in-process research and development assets were specific to the SubWEC development project and had no alternative future use, in other research and development projects or otherwise, at the acquisition date. Accordingly, the Company charged the entire acquisition cost of approximately $</w:t>
      </w:r>
      <w:bookmarkStart w:id="621" w:name="xdx_900_eus-gaap--ResearchAndDevelopment"/>
      <w:bookmarkEnd w:id="621"/>
      <w:r>
        <w:rPr>
          <w:rFonts w:ascii="Times New Roman;Times;Serif" w:hAnsi="Times New Roman;Times;Serif"/>
          <w:b w:val="false"/>
          <w:i w:val="false"/>
          <w:caps w:val="false"/>
          <w:smallCaps w:val="false"/>
          <w:sz w:val="20"/>
        </w:rPr>
        <w:t>2.2 million to research and development expense during the three months ended July 31, 2026. No acquired intangible asset or goodwill was recognized in connection with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622" w:name="xdx_906_eus-gaap--BusinessAcquisitionEqu"/>
      <w:bookmarkEnd w:id="622"/>
      <w:r>
        <w:rPr>
          <w:rFonts w:ascii="Times New Roman;Times;Serif" w:hAnsi="Times New Roman;Times;Serif"/>
          <w:b w:val="false"/>
          <w:i w:val="false"/>
          <w:caps w:val="false"/>
          <w:smallCaps w:val="false"/>
          <w:sz w:val="20"/>
        </w:rPr>
        <w:t>366,162 shares issued as consideration represented noncash consideration that is excluded from the Company’s condensed consolidated statement of cash flows. The shares were recorded as common stock and additional paid-in capital and are included in weighted-average shares outstanding for earnings-per-share purposes beginning on the July 22, 2026 issuance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3" w:name="xdx_80A_eus-gaap--CommitmentsAndContinge"/>
      <w:bookmarkEnd w:id="623"/>
      <w:r>
        <w:rPr>
          <w:rFonts w:ascii="Times New Roman;Times;Serif" w:hAnsi="Times New Roman;Times;Serif"/>
          <w:b/>
          <w:i w:val="false"/>
          <w:caps w:val="false"/>
          <w:smallCaps w:val="false"/>
          <w:sz w:val="20"/>
        </w:rPr>
        <w:t xml:space="preserve">(15) </w:t>
      </w:r>
      <w:bookmarkStart w:id="624" w:name="xdx_822_zc7uzdqD6zw5"/>
      <w:bookmarkEnd w:id="624"/>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consolidated financial statements not misleading. If the loss is not probable or cannot be reasonably estimated, a liability is not recorded in its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Onerous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one contract with a customer that has been determined to be an onerous contract, which means that the expected costs of the contract are expected to exceed the revenue. The total value of this contract is $</w:t>
      </w:r>
      <w:bookmarkStart w:id="625" w:name="xdx_901_eus-gaap--ContractWithCustomerLi"/>
      <w:bookmarkEnd w:id="625"/>
      <w:r>
        <w:rPr>
          <w:rFonts w:ascii="Times New Roman;Times;Serif" w:hAnsi="Times New Roman;Times;Serif"/>
          <w:b w:val="false"/>
          <w:i w:val="false"/>
          <w:caps w:val="false"/>
          <w:smallCaps w:val="false"/>
          <w:sz w:val="20"/>
        </w:rPr>
        <w:t>1.4 million. As of July 31, 2026, total revenue recognized for this contract was $</w:t>
      </w:r>
      <w:bookmarkStart w:id="626" w:name="xdx_901_eus-gaap--Revenues_pn5n6_c202605"/>
      <w:bookmarkEnd w:id="626"/>
      <w:r>
        <w:rPr>
          <w:rFonts w:ascii="Times New Roman;Times;Serif" w:hAnsi="Times New Roman;Times;Serif"/>
          <w:b w:val="false"/>
          <w:i w:val="false"/>
          <w:caps w:val="false"/>
          <w:smallCaps w:val="false"/>
          <w:sz w:val="20"/>
        </w:rPr>
        <w:t>0.7 million, with total costs incurred of $</w:t>
      </w:r>
      <w:bookmarkStart w:id="627" w:name="xdx_909_eus-gaap--CostOfRevenue_pn5n6_c2"/>
      <w:bookmarkEnd w:id="627"/>
      <w:r>
        <w:rPr>
          <w:rFonts w:ascii="Times New Roman;Times;Serif" w:hAnsi="Times New Roman;Times;Serif"/>
          <w:b w:val="false"/>
          <w:i w:val="false"/>
          <w:caps w:val="false"/>
          <w:smallCaps w:val="false"/>
          <w:sz w:val="20"/>
        </w:rPr>
        <w:t>3.6 million. The Company estimates total future costs associated with this contract of $</w:t>
      </w:r>
      <w:bookmarkStart w:id="628" w:name="xdx_90B_eus-gaap--ContractWithCustomerLi"/>
      <w:bookmarkEnd w:id="628"/>
      <w:r>
        <w:rPr>
          <w:rFonts w:ascii="Times New Roman;Times;Serif" w:hAnsi="Times New Roman;Times;Serif"/>
          <w:b w:val="false"/>
          <w:i w:val="false"/>
          <w:caps w:val="false"/>
          <w:smallCaps w:val="false"/>
          <w:sz w:val="20"/>
        </w:rPr>
        <w:t>2.8 million, which will be incurred over the next 24 months.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9" w:name="xdx_800_eus-gaap--IncomeTaxDisclosureTex"/>
      <w:bookmarkEnd w:id="629"/>
      <w:r>
        <w:rPr>
          <w:rFonts w:ascii="Times New Roman;Times;Serif" w:hAnsi="Times New Roman;Times;Serif"/>
          <w:b/>
          <w:i w:val="false"/>
          <w:caps w:val="false"/>
          <w:smallCaps w:val="false"/>
          <w:sz w:val="20"/>
        </w:rPr>
        <w:t xml:space="preserve">(16) </w:t>
      </w:r>
      <w:bookmarkStart w:id="630" w:name="xdx_823_zegwpMO44OHd"/>
      <w:bookmarkEnd w:id="630"/>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in accordance with ASC 740, Income Taxes. The guidance requires the Company to recognize in its consolidated financial statements the impact of a tax position if that position is more likely than not to be sustained upon examination, based on the technical merits of the position. The Company has no current or deferred tax due to current and projected losses for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July 31, 2026, the Company had no uncertain tax positions. The Company does not expect any material increases or decreases in its income tax expense or benefit in the next twelve months, related to examinations or uncertain tax positions. Net operating losses and credit carryforwards since inception remain open to examination by taxing authorities and will continue to remain open for a period of time after utilization.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Preservation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2023, in order to protect the Company’s valuable tax assets related to its net operating losses from being limited or lost under Section 382 of the Internal Revenue Code, the Company adopted a Tax Benefits Preservation Plan (the “Plan”). Pursuant to the Plan, the Board declared a dividend of one preferred share purchase right (each, a “Right”) for each outstanding share of common stock of the Company. The dividend was distributed to stockholders of record as of the close of business on July 11, 2023. The Plan substantially diminishes the risk that the Company’s ability to utilize its net operating loss carryovers to reduce potential future federal income tax obligations may become substantially limited. The Plan is intended to act as a deterrent to any person or group acquiring beneficial ownership of </w:t>
      </w:r>
      <w:bookmarkStart w:id="631" w:name="xdx_904_ecustom--BusinessAcquisitionOuts"/>
      <w:bookmarkEnd w:id="631"/>
      <w:r>
        <w:rPr>
          <w:rFonts w:ascii="Times New Roman;Times;Serif" w:hAnsi="Times New Roman;Times;Serif"/>
          <w:b w:val="false"/>
          <w:i w:val="false"/>
          <w:caps w:val="false"/>
          <w:smallCaps w:val="false"/>
          <w:sz w:val="20"/>
        </w:rPr>
        <w:t>4.99% or more of the outstanding common stock without approval by potentially subjecting any such person or group to significant dilution. The Plan was approved by shareholders by a non-binding advisory vote at the Company’s Annual Meeting held on February 28, 2024. The Plan was amended and restated on June 29, 2026 to among other things extend the life of the Plan through June 29,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the grant date fair value of the Rights using an option-pricing model. The amount was immaterial to the consolidated financial statements and deemed to be de minimis, and accordingly was not recorded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2" w:name="xdx_803_eus-gaap--SegmentReportingDisclo"/>
      <w:bookmarkEnd w:id="632"/>
      <w:r>
        <w:rPr>
          <w:rFonts w:ascii="Times New Roman;Times;Serif" w:hAnsi="Times New Roman;Times;Serif"/>
          <w:b/>
          <w:i w:val="false"/>
          <w:caps w:val="false"/>
          <w:smallCaps w:val="false"/>
          <w:sz w:val="20"/>
        </w:rPr>
        <w:t xml:space="preserve">(17) </w:t>
      </w:r>
      <w:bookmarkStart w:id="633" w:name="xdx_822_zdSIggOJPXvj"/>
      <w:bookmarkEnd w:id="633"/>
      <w:r>
        <w:rPr>
          <w:rFonts w:ascii="Times New Roman;Times;Serif" w:hAnsi="Times New Roman;Times;Serif"/>
          <w:b/>
          <w:i w:val="false"/>
          <w:caps w:val="false"/>
          <w:smallCaps w:val="false"/>
          <w:sz w:val="20"/>
        </w:rPr>
        <w:t>Operating Segments and Geographic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as </w:t>
      </w:r>
      <w:bookmarkStart w:id="634" w:name="xdx_909_eus-gaap--NumberOfOperatingSegme"/>
      <w:bookmarkEnd w:id="634"/>
      <w:r>
        <w:rPr>
          <w:rFonts w:ascii="Times New Roman;Times;Serif" w:hAnsi="Times New Roman;Times;Serif"/>
          <w:b w:val="false"/>
          <w:i w:val="false"/>
          <w:caps w:val="false"/>
          <w:smallCaps w:val="false"/>
          <w:sz w:val="20"/>
        </w:rPr>
        <w:t>one operating segment. The Company’s chief operating decision maker (the “CODM”) is its Chief Executive Officer, who reviews financial information on a consolidated basis and utilizes net loss for purposes of making operating decisions, assessing financial performance of the consolidated Company, and making resource allocation decisions. The CODM also reviews total assets. While assets may move throughout the world to support our revenue projects, for reporting purposes they are included in North America total assets. Revenue and expenses are generally attributed to the operating unit that bills the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35" w:name="xdx_898_eus-gaap--ReconciliationOfRevenu"/>
      <w:bookmarkEnd w:id="635"/>
      <w:r>
        <w:rPr>
          <w:rFonts w:ascii="Times New Roman;Times;Serif" w:hAnsi="Times New Roman;Times;Serif"/>
          <w:b w:val="false"/>
          <w:i w:val="false"/>
          <w:caps w:val="false"/>
          <w:smallCaps w:val="false"/>
          <w:sz w:val="20"/>
        </w:rPr>
        <w:t>The following table presents selected financial information with respect to the Company’s single operating segment and its significant segment expenses for the three months ended July 31, 2026 and 2025, respectively:</w:t>
      </w:r>
    </w:p>
    <w:p>
      <w:pPr>
        <w:pStyle w:val="TextBody"/>
        <w:bidi w:val="0"/>
        <w:spacing w:before="0" w:after="0"/>
        <w:ind w:left="0" w:right="0" w:hanging="0"/>
        <w:jc w:val="both"/>
        <w:rPr>
          <w:caps w:val="false"/>
          <w:smallCaps w:val="false"/>
        </w:rPr>
      </w:pPr>
      <w:r>
        <w:rPr>
          <w:caps w:val="false"/>
          <w:smallCaps w:val="false"/>
        </w:rPr>
        <w:t> </w:t>
      </w:r>
      <w:bookmarkStart w:id="636" w:name="xdx_8BE_zm9BRB2DXV85"/>
      <w:bookmarkEnd w:id="636"/>
      <w:r>
        <w:rPr>
          <w:rFonts w:ascii="Times New Roman;Times;Serif" w:hAnsi="Times New Roman;Times;Serif"/>
          <w:b w:val="false"/>
          <w:i w:val="false"/>
          <w:caps w:val="false"/>
          <w:smallCaps w:val="false"/>
          <w:sz w:val="20"/>
        </w:rPr>
        <w:t>Schedule of Operating Segment Expenses</w:t>
      </w:r>
    </w:p>
    <w:tbl>
      <w:tblPr>
        <w:tblW w:w="7182" w:type="dxa"/>
        <w:jc w:val="left"/>
        <w:tblInd w:w="0" w:type="dxa"/>
        <w:tblLayout w:type="fixed"/>
        <w:tblCellMar>
          <w:top w:w="0" w:type="dxa"/>
          <w:left w:w="0" w:type="dxa"/>
          <w:bottom w:w="0" w:type="dxa"/>
          <w:right w:w="0" w:type="dxa"/>
        </w:tblCellMar>
      </w:tblPr>
      <w:tblGrid>
        <w:gridCol w:w="4130"/>
        <w:gridCol w:w="60"/>
        <w:gridCol w:w="221"/>
        <w:gridCol w:w="1193"/>
        <w:gridCol w:w="150"/>
        <w:gridCol w:w="94"/>
        <w:gridCol w:w="221"/>
        <w:gridCol w:w="1003"/>
        <w:gridCol w:w="110"/>
      </w:tblGrid>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37" w:name="xdx_497_20260501__20260731_zHYHHPrapOV7"/>
            <w:bookmarkEnd w:id="637"/>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bookmarkStart w:id="638" w:name="xdx_49C_20250501__20250731_zjpmuRJBrmQh"/>
            <w:bookmarkEnd w:id="638"/>
          </w:p>
        </w:tc>
        <w:tc>
          <w:tcPr>
            <w:tcW w:w="12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 ended July 31,</w:t>
            </w:r>
          </w:p>
        </w:tc>
        <w:tc>
          <w:tcPr>
            <w:tcW w:w="11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2" w:type="dxa"/>
            <w:gridSpan w:val="6"/>
            <w:tcBorders/>
            <w:vAlign w:val="center"/>
          </w:tcPr>
          <w:p>
            <w:pPr>
              <w:pStyle w:val="TableContents"/>
              <w:bidi w:val="0"/>
              <w:spacing w:before="0" w:after="283"/>
              <w:jc w:val="center"/>
              <w:rPr/>
            </w:pPr>
            <w:r>
              <w:rPr/>
              <w:t>(in thousands)</w:t>
            </w:r>
          </w:p>
        </w:tc>
        <w:tc>
          <w:tcPr>
            <w:tcW w:w="110" w:type="dxa"/>
            <w:tcBorders/>
            <w:vAlign w:val="center"/>
          </w:tcPr>
          <w:p>
            <w:pPr>
              <w:pStyle w:val="TableContents"/>
              <w:bidi w:val="0"/>
              <w:spacing w:before="0" w:after="283"/>
              <w:jc w:val="left"/>
              <w:rPr/>
            </w:pPr>
            <w:r>
              <w:rPr/>
              <w:t> </w:t>
            </w:r>
            <w:bookmarkStart w:id="639" w:name="xdx_401_eus-gaap--Revenues_pn3n3_maNILz8"/>
            <w:bookmarkEnd w:id="639"/>
          </w:p>
        </w:tc>
      </w:tr>
      <w:tr>
        <w:trPr/>
        <w:tc>
          <w:tcPr>
            <w:tcW w:w="413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3" w:type="dxa"/>
            <w:tcBorders/>
            <w:shd w:fill="CCEEFF" w:val="clear"/>
            <w:vAlign w:val="center"/>
          </w:tcPr>
          <w:p>
            <w:pPr>
              <w:pStyle w:val="TableContents"/>
              <w:bidi w:val="0"/>
              <w:spacing w:before="0" w:after="283"/>
              <w:jc w:val="right"/>
              <w:rPr/>
            </w:pPr>
            <w:r>
              <w:rPr/>
              <w:t>1,703</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003" w:type="dxa"/>
            <w:tcBorders/>
            <w:shd w:fill="CCEEFF" w:val="clear"/>
            <w:vAlign w:val="center"/>
          </w:tcPr>
          <w:p>
            <w:pPr>
              <w:pStyle w:val="TableContents"/>
              <w:bidi w:val="0"/>
              <w:spacing w:before="0" w:after="283"/>
              <w:jc w:val="right"/>
              <w:rPr/>
            </w:pPr>
            <w:r>
              <w:rPr/>
              <w:t>1,182</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640" w:name="xdx_40B_eus-gaap--CostOfRevenue_pn3n3_ms"/>
            <w:bookmarkEnd w:id="640"/>
          </w:p>
        </w:tc>
      </w:tr>
      <w:tr>
        <w:trPr/>
        <w:tc>
          <w:tcPr>
            <w:tcW w:w="4130"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4,534</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1,205</w:t>
            </w:r>
          </w:p>
        </w:tc>
        <w:tc>
          <w:tcPr>
            <w:tcW w:w="110" w:type="dxa"/>
            <w:tcBorders/>
            <w:shd w:fill="CCEEFF" w:val="clear"/>
            <w:vAlign w:val="center"/>
          </w:tcPr>
          <w:p>
            <w:pPr>
              <w:pStyle w:val="TableContents"/>
              <w:bidi w:val="0"/>
              <w:spacing w:before="0" w:after="283"/>
              <w:jc w:val="left"/>
              <w:rPr/>
            </w:pPr>
            <w:r>
              <w:rPr/>
              <w:t> </w:t>
            </w:r>
            <w:bookmarkStart w:id="641" w:name="xdx_406_eus-gaap--OtherCostAndExpenseOpe"/>
            <w:bookmarkEnd w:id="641"/>
          </w:p>
        </w:tc>
      </w:tr>
      <w:tr>
        <w:trPr/>
        <w:tc>
          <w:tcPr>
            <w:tcW w:w="4130" w:type="dxa"/>
            <w:tcBorders/>
            <w:shd w:fill="FFFFFF" w:val="clear"/>
            <w:vAlign w:val="center"/>
          </w:tcPr>
          <w:p>
            <w:pPr>
              <w:pStyle w:val="TableContents"/>
              <w:bidi w:val="0"/>
              <w:spacing w:before="0" w:after="283"/>
              <w:jc w:val="left"/>
              <w:rPr/>
            </w:pPr>
            <w:r>
              <w:rPr/>
              <w:t>Product development costs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2,719</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136</w:t>
            </w:r>
          </w:p>
        </w:tc>
        <w:tc>
          <w:tcPr>
            <w:tcW w:w="110" w:type="dxa"/>
            <w:tcBorders/>
            <w:shd w:fill="FFFFFF" w:val="clear"/>
            <w:vAlign w:val="center"/>
          </w:tcPr>
          <w:p>
            <w:pPr>
              <w:pStyle w:val="TableContents"/>
              <w:bidi w:val="0"/>
              <w:spacing w:before="0" w:after="283"/>
              <w:jc w:val="left"/>
              <w:rPr/>
            </w:pPr>
            <w:r>
              <w:rPr/>
              <w:t> </w:t>
            </w:r>
            <w:bookmarkStart w:id="642" w:name="xdx_408_eus-gaap--LaborAndRelatedExpense"/>
            <w:bookmarkEnd w:id="642"/>
          </w:p>
        </w:tc>
      </w:tr>
      <w:tr>
        <w:trPr/>
        <w:tc>
          <w:tcPr>
            <w:tcW w:w="4130" w:type="dxa"/>
            <w:tcBorders/>
            <w:shd w:fill="CCEEFF" w:val="clear"/>
            <w:vAlign w:val="center"/>
          </w:tcPr>
          <w:p>
            <w:pPr>
              <w:pStyle w:val="TableContents"/>
              <w:bidi w:val="0"/>
              <w:spacing w:before="0" w:after="283"/>
              <w:jc w:val="left"/>
              <w:rPr/>
            </w:pPr>
            <w:r>
              <w:rPr/>
              <w:t>Employee-related costs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3,046</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2,285</w:t>
            </w:r>
          </w:p>
        </w:tc>
        <w:tc>
          <w:tcPr>
            <w:tcW w:w="110" w:type="dxa"/>
            <w:tcBorders/>
            <w:shd w:fill="CCEEFF" w:val="clear"/>
            <w:vAlign w:val="center"/>
          </w:tcPr>
          <w:p>
            <w:pPr>
              <w:pStyle w:val="TableContents"/>
              <w:bidi w:val="0"/>
              <w:spacing w:before="0" w:after="283"/>
              <w:jc w:val="left"/>
              <w:rPr/>
            </w:pPr>
            <w:r>
              <w:rPr/>
              <w:t> </w:t>
            </w:r>
            <w:bookmarkStart w:id="643" w:name="xdx_403_eus-gaap--ProfessionalFees_pn3n3"/>
            <w:bookmarkEnd w:id="643"/>
          </w:p>
        </w:tc>
      </w:tr>
      <w:tr>
        <w:trPr/>
        <w:tc>
          <w:tcPr>
            <w:tcW w:w="4130" w:type="dxa"/>
            <w:tcBorders/>
            <w:shd w:fill="FFFFFF" w:val="clear"/>
            <w:vAlign w:val="center"/>
          </w:tcPr>
          <w:p>
            <w:pPr>
              <w:pStyle w:val="TableContents"/>
              <w:bidi w:val="0"/>
              <w:spacing w:before="0" w:after="283"/>
              <w:jc w:val="left"/>
              <w:rPr/>
            </w:pPr>
            <w:r>
              <w:rPr/>
              <w:t>Professional, consulting and contractor fees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1,645</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977</w:t>
            </w:r>
          </w:p>
        </w:tc>
        <w:tc>
          <w:tcPr>
            <w:tcW w:w="110" w:type="dxa"/>
            <w:tcBorders/>
            <w:shd w:fill="FFFFFF" w:val="clear"/>
            <w:vAlign w:val="center"/>
          </w:tcPr>
          <w:p>
            <w:pPr>
              <w:pStyle w:val="TableContents"/>
              <w:bidi w:val="0"/>
              <w:spacing w:before="0" w:after="283"/>
              <w:jc w:val="left"/>
              <w:rPr/>
            </w:pPr>
            <w:r>
              <w:rPr/>
              <w:t> </w:t>
            </w:r>
            <w:bookmarkStart w:id="644" w:name="xdx_40C_eus-gaap--GeneralAndAdministrati"/>
            <w:bookmarkEnd w:id="644"/>
          </w:p>
        </w:tc>
      </w:tr>
      <w:tr>
        <w:trPr/>
        <w:tc>
          <w:tcPr>
            <w:tcW w:w="4130" w:type="dxa"/>
            <w:tcBorders/>
            <w:shd w:fill="CCEEFF" w:val="clear"/>
            <w:vAlign w:val="center"/>
          </w:tcPr>
          <w:p>
            <w:pPr>
              <w:pStyle w:val="TableContents"/>
              <w:bidi w:val="0"/>
              <w:spacing w:before="0" w:after="283"/>
              <w:jc w:val="left"/>
              <w:rPr/>
            </w:pPr>
            <w:r>
              <w:rPr/>
              <w:t>General and administrative costs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2,225</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652</w:t>
            </w:r>
          </w:p>
        </w:tc>
        <w:tc>
          <w:tcPr>
            <w:tcW w:w="110" w:type="dxa"/>
            <w:tcBorders/>
            <w:shd w:fill="CCEEFF" w:val="clear"/>
            <w:vAlign w:val="center"/>
          </w:tcPr>
          <w:p>
            <w:pPr>
              <w:pStyle w:val="TableContents"/>
              <w:bidi w:val="0"/>
              <w:spacing w:before="0" w:after="283"/>
              <w:jc w:val="left"/>
              <w:rPr/>
            </w:pPr>
            <w:r>
              <w:rPr/>
              <w:t> </w:t>
            </w:r>
            <w:bookmarkStart w:id="645" w:name="xdx_402_ecustom--FacilitiesCosts_pn3n3_m"/>
            <w:bookmarkEnd w:id="645"/>
          </w:p>
        </w:tc>
      </w:tr>
      <w:tr>
        <w:trPr/>
        <w:tc>
          <w:tcPr>
            <w:tcW w:w="4130" w:type="dxa"/>
            <w:tcBorders/>
            <w:shd w:fill="FFFFFF" w:val="clear"/>
            <w:vAlign w:val="center"/>
          </w:tcPr>
          <w:p>
            <w:pPr>
              <w:pStyle w:val="TableContents"/>
              <w:bidi w:val="0"/>
              <w:spacing w:before="0" w:after="283"/>
              <w:jc w:val="left"/>
              <w:rPr/>
            </w:pPr>
            <w:r>
              <w:rPr/>
              <w:t>Facilities costs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463</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379</w:t>
            </w:r>
          </w:p>
        </w:tc>
        <w:tc>
          <w:tcPr>
            <w:tcW w:w="110" w:type="dxa"/>
            <w:tcBorders/>
            <w:shd w:fill="FFFFFF" w:val="clear"/>
            <w:vAlign w:val="center"/>
          </w:tcPr>
          <w:p>
            <w:pPr>
              <w:pStyle w:val="TableContents"/>
              <w:bidi w:val="0"/>
              <w:spacing w:before="0" w:after="283"/>
              <w:jc w:val="left"/>
              <w:rPr/>
            </w:pPr>
            <w:r>
              <w:rPr/>
              <w:t> </w:t>
            </w:r>
            <w:bookmarkStart w:id="646" w:name="xdx_409_eus-gaap--ShareBasedCompensation"/>
            <w:bookmarkEnd w:id="646"/>
          </w:p>
        </w:tc>
      </w:tr>
      <w:tr>
        <w:trPr/>
        <w:tc>
          <w:tcPr>
            <w:tcW w:w="4130"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1,829</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2,399</w:t>
            </w:r>
          </w:p>
        </w:tc>
        <w:tc>
          <w:tcPr>
            <w:tcW w:w="110" w:type="dxa"/>
            <w:tcBorders/>
            <w:shd w:fill="CCEEFF" w:val="clear"/>
            <w:vAlign w:val="center"/>
          </w:tcPr>
          <w:p>
            <w:pPr>
              <w:pStyle w:val="TableContents"/>
              <w:bidi w:val="0"/>
              <w:spacing w:before="0" w:after="283"/>
              <w:jc w:val="left"/>
              <w:rPr/>
            </w:pPr>
            <w:r>
              <w:rPr/>
              <w:t> </w:t>
            </w:r>
            <w:bookmarkStart w:id="647" w:name="xdx_407_eus-gaap--DepreciationAndAmortiz"/>
            <w:bookmarkEnd w:id="647"/>
          </w:p>
        </w:tc>
      </w:tr>
      <w:tr>
        <w:trPr/>
        <w:tc>
          <w:tcPr>
            <w:tcW w:w="4130"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319</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227</w:t>
            </w:r>
          </w:p>
        </w:tc>
        <w:tc>
          <w:tcPr>
            <w:tcW w:w="110" w:type="dxa"/>
            <w:tcBorders/>
            <w:shd w:fill="FFFFFF" w:val="clear"/>
            <w:vAlign w:val="center"/>
          </w:tcPr>
          <w:p>
            <w:pPr>
              <w:pStyle w:val="TableContents"/>
              <w:bidi w:val="0"/>
              <w:spacing w:before="0" w:after="283"/>
              <w:jc w:val="left"/>
              <w:rPr/>
            </w:pPr>
            <w:r>
              <w:rPr/>
              <w:t> </w:t>
            </w:r>
            <w:bookmarkStart w:id="648" w:name="xdx_409_eus-gaap--OtherOperatingIncomeEx"/>
            <w:bookmarkEnd w:id="648"/>
          </w:p>
        </w:tc>
      </w:tr>
      <w:tr>
        <w:trPr/>
        <w:tc>
          <w:tcPr>
            <w:tcW w:w="4130" w:type="dxa"/>
            <w:tcBorders/>
            <w:shd w:fill="CCEEFF" w:val="clear"/>
            <w:vAlign w:val="center"/>
          </w:tcPr>
          <w:p>
            <w:pPr>
              <w:pStyle w:val="TableContents"/>
              <w:bidi w:val="0"/>
              <w:spacing w:before="0" w:after="283"/>
              <w:jc w:val="left"/>
              <w:rPr/>
            </w:pPr>
            <w:r>
              <w:rPr/>
              <w:t>Other expense, net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w:t>
            </w:r>
          </w:p>
        </w:tc>
        <w:tc>
          <w:tcPr>
            <w:tcW w:w="150"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649" w:name="xdx_40C_eus-gaap--InterestIncomeExpenseN"/>
            <w:bookmarkEnd w:id="649"/>
          </w:p>
        </w:tc>
      </w:tr>
      <w:tr>
        <w:trPr/>
        <w:tc>
          <w:tcPr>
            <w:tcW w:w="4130" w:type="dxa"/>
            <w:tcBorders/>
            <w:shd w:fill="FFFFFF" w:val="clear"/>
            <w:vAlign w:val="center"/>
          </w:tcPr>
          <w:p>
            <w:pPr>
              <w:pStyle w:val="TableContents"/>
              <w:bidi w:val="0"/>
              <w:spacing w:before="0" w:after="283"/>
              <w:jc w:val="left"/>
              <w:rPr/>
            </w:pPr>
            <w:r>
              <w:rPr/>
              <w:t>Interest (income)/expense, net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373</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pPr>
            <w:r>
              <w:rPr/>
              <w:t>310</w:t>
            </w:r>
          </w:p>
        </w:tc>
        <w:tc>
          <w:tcPr>
            <w:tcW w:w="110" w:type="dxa"/>
            <w:tcBorders/>
            <w:shd w:fill="FFFFFF" w:val="clear"/>
            <w:vAlign w:val="center"/>
          </w:tcPr>
          <w:p>
            <w:pPr>
              <w:pStyle w:val="TableContents"/>
              <w:bidi w:val="0"/>
              <w:spacing w:before="0" w:after="283"/>
              <w:jc w:val="left"/>
              <w:rPr/>
            </w:pPr>
            <w:r>
              <w:rPr/>
              <w:t> </w:t>
            </w:r>
            <w:bookmarkStart w:id="650" w:name="xdx_40A_ecustom--ChangeInFairValueOfDeri"/>
            <w:bookmarkEnd w:id="650"/>
          </w:p>
        </w:tc>
      </w:tr>
      <w:tr>
        <w:trPr/>
        <w:tc>
          <w:tcPr>
            <w:tcW w:w="4130" w:type="dxa"/>
            <w:tcBorders/>
            <w:shd w:fill="CCEEFF" w:val="clear"/>
            <w:vAlign w:val="center"/>
          </w:tcPr>
          <w:p>
            <w:pPr>
              <w:pStyle w:val="TableContents"/>
              <w:bidi w:val="0"/>
              <w:spacing w:before="0" w:after="283"/>
              <w:jc w:val="left"/>
              <w:rPr/>
            </w:pPr>
            <w:r>
              <w:rPr/>
              <w:t>Change in fair value of derivatives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4,912</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651" w:name="xdx_403_eus-gaap--GainsLossesOnExtinguis"/>
            <w:bookmarkEnd w:id="651"/>
          </w:p>
        </w:tc>
      </w:tr>
      <w:tr>
        <w:trPr/>
        <w:tc>
          <w:tcPr>
            <w:tcW w:w="4130" w:type="dxa"/>
            <w:tcBorders/>
            <w:shd w:fill="FFFFFF" w:val="clear"/>
            <w:vAlign w:val="center"/>
          </w:tcPr>
          <w:p>
            <w:pPr>
              <w:pStyle w:val="TableContents"/>
              <w:bidi w:val="0"/>
              <w:spacing w:before="0" w:after="283"/>
              <w:jc w:val="left"/>
              <w:rPr/>
            </w:pPr>
            <w:r>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652" w:name="xdx_404_eus-gaap--NetIncomeLoss_iT_pn3n3"/>
            <w:bookmarkEnd w:id="652"/>
          </w:p>
        </w:tc>
      </w:tr>
      <w:tr>
        <w:trPr/>
        <w:tc>
          <w:tcPr>
            <w:tcW w:w="413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pPr>
            <w:r>
              <w:rPr/>
              <w:t>(10,537</w:t>
            </w:r>
          </w:p>
        </w:tc>
        <w:tc>
          <w:tcPr>
            <w:tcW w:w="150" w:type="dxa"/>
            <w:tcBorders/>
            <w:shd w:fill="CCEEFF" w:val="clear"/>
            <w:vAlign w:val="center"/>
          </w:tcPr>
          <w:p>
            <w:pPr>
              <w:pStyle w:val="TableContents"/>
              <w:bidi w:val="0"/>
              <w:spacing w:before="0" w:after="283"/>
              <w:jc w:val="left"/>
              <w:rPr/>
            </w:pPr>
            <w:r>
              <w:rPr/>
              <w:t>)</w:t>
            </w:r>
          </w:p>
        </w:tc>
        <w:tc>
          <w:tcPr>
            <w:tcW w:w="94"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03" w:type="dxa"/>
            <w:tcBorders>
              <w:bottom w:val="double" w:sz="6" w:space="0" w:color="000000"/>
            </w:tcBorders>
            <w:shd w:fill="CCEEFF" w:val="clear"/>
            <w:tcMar>
              <w:bottom w:w="28" w:type="dxa"/>
            </w:tcMar>
            <w:vAlign w:val="center"/>
          </w:tcPr>
          <w:p>
            <w:pPr>
              <w:pStyle w:val="TableContents"/>
              <w:bidi w:val="0"/>
              <w:spacing w:before="0" w:after="283"/>
              <w:jc w:val="right"/>
              <w:rPr/>
            </w:pPr>
            <w:r>
              <w:rPr/>
              <w:t>(7,388</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bookmarkStart w:id="653" w:name="xdx_8A2_zTsrS0D5Kzd3"/>
      <w:bookmarkEnd w:id="653"/>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4" w:name="xdx_80C_eus-gaap--SubsequentEventsTextBl"/>
      <w:bookmarkEnd w:id="654"/>
      <w:r>
        <w:rPr>
          <w:rFonts w:ascii="Times New Roman;Times;Serif" w:hAnsi="Times New Roman;Times;Serif"/>
          <w:b/>
          <w:i w:val="false"/>
          <w:caps w:val="false"/>
          <w:smallCaps w:val="false"/>
          <w:sz w:val="20"/>
        </w:rPr>
        <w:t xml:space="preserve">(18) </w:t>
      </w:r>
      <w:bookmarkStart w:id="655" w:name="xdx_821_zGsxy9J6MC9e"/>
      <w:bookmarkEnd w:id="655"/>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the Company’s stockholders approved an amendment to the Company’s Certificate of Incorporation authorizing the Board of Directors to effect a reverse stock split of the Company’s common stock at a ratio within a specified range, with the exact ratio to be determined by the Board of Directors. On the same date, the Board of Directors approved a reverse stock split at a ratio of one-for-thirty (the “Reverse Stock Split”). The Reverse Stock Split became effective on September 11, 2026 upon the filing and effectiveness of a Certificate of Amendment with the Secretary of State of the State of Delaware, and the Company’s common stock began trading on a split-adjusted basis on the NYSE American on September 14, 2026 under the existing trading symbol “OPTT” but under a new CUSIP number. As a result, every thirty shares of the Company’s issued and outstanding common stock were automatically combined into one issued and outstanding share of common stock. No fractional shares were issued in connection with the Reverse Stock Split. Stockholders otherwise entitled to receive a fractional share received one whole share of common stock in lieu of the fractional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did not change the number of authorized shares of common stock or the par value of the common stock. Proportionate adjustments were made to the number of shares issuable upon the exercise, vesting or conversion of the Company’s outstanding stock options, restricted stock units, other equity awards, warrants and other convertible securities, including the convertible notes; the applicable exercise and conversion prices; and the number of shares authorized, reserved and available for issuance under the Company’s equity compensation plans. The Reverse Stock Split did not generate any proceeds for the Company. The Reverse Stock Split was intended, among other objectives, to increase the market price per share of the Company’s common stock, support compliance with applicable stock-exchange listing standards, improve the marketability of the common stock and enhance the Company’s ability to pursue financing and potential future exchange-listing opportunities. All common share and per-share amounts presented in these unaudited condensed consolidated financial statements and the related notes, including earnings per share and shares underlying outstanding equity awards, warrants and other convertible securities, including the convertible notes, have been retrospectively adjusted for all periods presented to reflect the Reverse Stock Split. The number of authorized shares and the par value per share have not been retrospectively adjusted because they were not affected by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that certain Amended and Restated Section 382 Tax Benefits Preservation Plan, dated as of June 29, 2026 (the “Plan”), by and between the Company and Computershare Trust Company, N.A., a federally chartered trust company, as rights agent (the “Rights Agent”), the Reverse Stock Split resulted in an automatic, mechanical, and proportional adjustment pursuant to Section 11(o) of the Plan to the purchase price of the preferred stock purchase rights (the “Rights”) associated with each outstanding share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as of the Effective Time, </w:t>
      </w:r>
      <w:bookmarkStart w:id="656" w:name="xdx_907_eus-gaap--StockholdersEquityReve"/>
      <w:bookmarkEnd w:id="656"/>
      <w:r>
        <w:rPr>
          <w:rFonts w:ascii="Times New Roman;Times;Serif" w:hAnsi="Times New Roman;Times;Serif"/>
          <w:b w:val="false"/>
          <w:i w:val="false"/>
          <w:caps w:val="false"/>
          <w:smallCaps w:val="false"/>
          <w:sz w:val="20"/>
        </w:rPr>
        <w:t>the initial purchase price of $2.25 per one one-thousandth of a share of Series A Participating Preferred Stock, par value $0.001 per share (the “Preferred Stock</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was multiplied by the Reverse Stock Split ratio factor of one for thirty, resulting in an adjusted purchase price of $67.50 per one one-thousandth of a share of Preferred Stock, subject to further adjustment as provided in the Plan.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11(o) of the Plan: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bookmarkStart w:id="657" w:name="xdx_902_eus-gaap--StockholdersEquityReve"/>
            <w:bookmarkEnd w:id="657"/>
            <w:r>
              <w:rPr>
                <w:rFonts w:ascii="Times New Roman;Times;Serif" w:hAnsi="Times New Roman;Times;Serif"/>
                <w:b w:val="false"/>
                <w:i w:val="false"/>
                <w:caps w:val="false"/>
                <w:smallCaps w:val="false"/>
                <w:sz w:val="20"/>
              </w:rPr>
              <w:t>the fraction of a share of Preferred Stock purchasable upon exercise of each Right remains unchanged at one one-thousandth of a share of Preferred Stock per Right;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bookmarkStart w:id="658" w:name="xdx_90C_eus-gaap--StockholdersEquityReve"/>
            <w:bookmarkEnd w:id="658"/>
            <w:r>
              <w:rPr>
                <w:rFonts w:ascii="Times New Roman;Times;Serif" w:hAnsi="Times New Roman;Times;Serif"/>
                <w:b w:val="false"/>
                <w:i w:val="false"/>
                <w:caps w:val="false"/>
                <w:smallCaps w:val="false"/>
                <w:sz w:val="20"/>
              </w:rPr>
              <w:t>the number of Rights associated with each outstanding share of Common Stock remains unchanged at one (1) Right per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2026, in accordance with Section 12 of the Plan, the Company delivered to the Rights Agent the required notice setting forth the adjustments to the Purchase Price and the statement of facts and computations accounting for such adjustment. No formal text amendment to the Plan or its underlying exhibits was executed or required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 Transition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2026, Dr. Philipp Stratmann resigned as President and Chief Executive Officer of the Company. The Board of Directors appointed Tracy Pagliara to serve as Acting Chief Executive Officer, effective September 14, 2026. Dr. Stratmann’s resignation was not the result of any disagreement with the Company concerning its operations, policies or practices. In connection with his departure, Dr. Stratmann will be entitled to receive six months of base salary and the balance of his agreed fiscal 2026 bonus. He also will receive continued Company health benefits through September 30, 2026. The resignation and related leadership transition did not result in an adjustment to the Company’s consolidated financial statements as of and for the three months ended July 31, 2026.</w:t>
      </w:r>
    </w:p>
    <w:p>
      <w:pPr>
        <w:pStyle w:val="TextBody"/>
        <w:bidi w:val="0"/>
        <w:spacing w:before="0" w:after="0"/>
        <w:jc w:val="center"/>
        <w:rPr>
          <w:caps w:val="false"/>
          <w:smallCaps w:val="false"/>
        </w:rPr>
      </w:pPr>
      <w:bookmarkStart w:id="659" w:name="xdx_811_zbtrwFbisnsb"/>
      <w:bookmarkEnd w:id="659"/>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0" w:name="a_008"/>
      <w:bookmarkEnd w:id="660"/>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revenue and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or incorporated by reference are largely based on our expectations, which reflect estimates and assumptions made by management. These estimates and assumptions reflect our best judgment based on currently known market conditions and other factors. Although we believe such estimates and assumptions to be reasonable, they are inherently uncertain and involve several risks and uncertainties that are beyond our control, including: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improve, market and commercialize our products, and achieve and sustain profitability;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improvement of our proprietary technologies, and expected continued use of cash from operating activities unless or until we achieve positive cash flow from the commercialization of our products and services;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current legislation, regulations and economic conditions regarding Federal governmental tariffs, and the potential that this affects the demand for, or restricts the use of, our products and services;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funding, as and if needed, which will be subject to several factors, including market conditions, our financial condition and our operating performance;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the covenants and other obligations under our convertible notes;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do business with properly qualified customers that have good credit ratings and pay their obligation on a timely basis;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continue as a going concern due to constrained liquidity in its business;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history of operating losses, which we expect to continue for at least the short-term and possibly longer;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challenges and expenses associated with communications and disputes with activist shareholders, including litigation;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and mitigate risks associated with our internal cyber security protocols and protection of the data we collect and distribute;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portfolio;</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potential inflation related to the U.S. dollar on our business, operations, customers, suppliers, manufacturers, and personnel;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product enhancement,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forecasts and estimates regarding future expenses, revenue, gross margin, cash flow and capital requirements;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and penetrate markets for our products, services, and solutions;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respond to competition in our targeted markets;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relationships with our existing and future strategic partners which may not be successful;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common stock on the NYSE American;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reliability and continuous improvement of our technology, products and solutions;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increase or more efficiently utilize the synergies available from our product lines: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expand markets across geographic boundaries;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 successful with Federal government work which is complex due to various statutes and regulations applicable to doing business with the Federal government;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 successful doing business internationally which requires strict compliance with applicable statutes and regulations;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geopolitical world uncertainty, including tariffs, Russia’s invasion of Ukraine, the Israel/Palestine conflict, the Iran war and previous attacks on merchant ships in the Red Sea;</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that new foreign country tariffs may have on our ability (i) to source and procure necessary raw materials for the manufacture and provision of our products and services; and (ii) to deliver our products to such foreign countries;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retain key personnel, including senior management, to achieve our business objectives;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consistent commercial profit margins.</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2026, and in our subsequent reports under the Exchange Act.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is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the year ended April 30, 2026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2025 refers to the year ended April 30, 2026). References to “we,” “us,” “our,” and “OPT” refer to Ocean Power Technologies, Inc. and its subsidiaries,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 (“OPT,” “we,” “our,” or “the Company”) is a Maritime Domain Awareness (MDA) company specializing in innovative intelligent maritime solutions. These solutions include a variety of “as a service” systems, including Data as a Service (DaaS), Robotics as a Service (RaaS), and Power as a Service (PaaS). These systems consist of a variety of platforms including the PowerBuoy®, our persistent sensor and power solution, the WAM-V® (Wave Adaptive Modular Vessel), our autonomous unmanned surface vehicle, and Merrows™, our user interface and command and control (C2) system that integrates multiple sensor feeds using software and hardware and enables artificial intelligence and machine learning (AI/ML) integration. We design, manufacture, deploy, and operate these systems for defense, security, subsea infrastructure, offshore oil and gas, offshore energy, marine research, and communication markets. We operate primarily through a combination of direct sales and leases, strategic partnerships, and long-term service agreements. Our business model emphasizes capital-light deployments, recurring revenue from service and maintenance contracts, and high-margin technology sales and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 a global customer base, including the U.S. and allied defense agencies, offshore energy operators, and commercial interests. The common thread across these markets is the growing need for a persistent, autonomous, and sustainable offshore presence, a need we are uniquely positioned to fulfill.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numerous patents and leverages decades of research including control systems, energy storage, and marine integration. Our headquarters and assembly operations are located in New Jersey, and we maintain an additional manufacturing and robotics development facility in Richmond, CA. In addition, the Company maintains an office at the Association for Uncrewed Vehicle Systems International (AUVSI) headquarters in Washington, D.C., which serves to strengthen our strategic position in the fast-growing uncrewed systems market.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 is committed to enabling a smarter, safer ocean economy through innovation in ocean intelligence and power. As we look forward, our strategic priorities include expanding our customer and geographic base, accelerating technology adoption, enhancing recurring revenue, and driving margin growth through platform scalability and supply chain efficiencies.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the Company’s business description from that disclosed in our Annual Report on Form 10-K for the year ended April 30, 2026, filed with the SEC on August 19,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July 31, 2026, the Company incurred a net loss of approximately $10.5 million and used cash in operations of approximately $10.2 million. The Company’s future results of operations involve significant risks and uncertainties. Factors that could affect the Company’s future operating results and could cause actual results to vary materially from expectations include, but are not limited to, performance of its products, its ability to market and commercialize its products and new products that it may develop, access to capital, technology development, scalability of technology and production, ability to attract and retain key personnel, concentration of customers and suppliers, pending or threatened litigation and deployment risks and integration of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incurred recurring operating losses and negative cash flows from operations and expects to continue to incur losses and use cash in operations for the foreseeable future. Based on the Company’s current operating plan, existing cash resources and anticipated cash flows from operations are not expected to be sufficient to fund planned operations and satisfy the Company’s contractual obligations for at least twelve months from the date the accompanying unaudited condensed consolidated financial statements are issued. These conditions raise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of the Company’s independent registered public accounting firm on the Company’s consolidated financial statements for the fiscal year ended April 30, 2026 included an explanatory paragraph regarding substantial doubt about the Company’s ability to continue as a going concern. The inclusion of this explanatory paragraph did not represent a modification of the auditor’s opinion on those consolidated financial statements. The accompanying unaudited condensed consolidated financial statements have been prepared assuming that the Company will continue as a going concern and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July 31, 2026, the Company did not file its Annual Report on Form 10-K for the fiscal year ended April 30, 2026 within the extension period provided by Rule 12b-25 under the Securities Exchange Act of 1934. The failure to timely file the Form 10-K constituted an event of default under the Notes (as defined below). As of the date of this Quarterly Report on Form 10-Q, the Company has not obtained a written waiver of the event of default. Although the holders of the Notes have not indicated that they intend to exercise remedies available to them under the Notes, there can be no assurance that they will not do so. Any enforcement action could have a material adverse effect on the Company’s liquidity, financial condition and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plans to address the Company’s liquidity requirements include seeking additional capital through public or private equity or debt financings, pursuing strategic or commercial arrangements, increasing revenue and collections, reducing or delaying expenditures, and seeking to restructure or otherwise modify the Company’s outstanding debt obligations. The Company’s ability to obtain additional financing is subject to numerous risks and uncertainties, including market conditions, the Company’s operating performance, the trading price of its common stock, limitations arising from its outstanding indebtedness, and its ability to satisfy applicable securities-law and stock-exchange requirements. Additional financing may not be available when required or may be available only on terms that are unfavorable to the Company and its stockholders, including financing arrangements that result in substantial dilution to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plans have not alleviated the substantial doubt about the Company’s ability to continue as a going concern because those plans are not currently considered probable of being effectively implemented within the applicable assessment period. There can be no assurance that the Company will be successful in implementing any of these plans.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entered into a Securities Purchase Agreement (the “Purchase Agreement”) with certain institutional investors pursuant to which the Company issued and sold senior convertible notes (the “Notes”) in an aggregate principal amount of $10.0 million, along with a 13% premium on the principal amount. The conversion rate related to this agreement is $12.00 per share. Proceeds from these Notes were used to pay off the remaining balances associated with the May and October 2025 convertible notes, respectively. Beginning on the closing date, the Notes are subject to quarterly cash amortization payments through maturity and monthly interest payment calculated on a 4.5% annual rate for the outstanding principal amount at the end of the previous month. Between the premium and annual interest rate, the effective interest rate on this Note is approximately 20%. The agreement also contains a make-whole interest whereby in connection with any conversion, redemption, or other repayment would result in an additional interest amount as if the principal remained outstanding through the maturity date. The Notes rank senior to the Company’s other unsecured indebtedness, subject to certain exceptions, and contain customary affirmative and negative covenants, including restrictions on indebtedness, liens, restricted payments, asset transfers, changes in business, and affiliate transactions, including a covenant requirement $2.0 million minimum cash balance to be maintained. The Notes also contain customary events of default. The conversion of these notes into equity may occur at times and under pricing mechanisms that could lead to a substantial number of shares being issued, potentially at prices below prevailing market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Backlog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31, 2026, backlog was $19.1 million, compared to $15.0 million at July 31, 2025. The backlog represents the value of unfulfilled, purchase orders and agreements with commercial and governmental customers. If any of our contracts were to be terminated, our backlog would be reduced by the expected value of the remaining terms of such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Backlog figures do not necessarily reflect future revenue, as orders may be adjusted, delayed, or canceled, and our recognition of associated revenue is subject to the terms of the underlying agreements. The size of our backlog may also fluctuate materially based on the timing of new awards, contract renewals, or the conclusion of long-term engagements. Consequently, while we view backlog as a useful performance indicator, it should not be relied upon as a predictor of future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our critical accounting policies and estimates from those disclosed in our Annual Report on Form 10-K for the year ended April 30, 2026 other than noted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measure the warrant liability associated with the June 2026 equity issuance (described below) at fair value using a Black-Scholes option-pricing model. The valuation requires the use of assumptions and judgments, including the market price of our common stock, expected stock-price volatility, the risk-free interest rate, the expected remaining term of the warrants and the expected dividend yield. Certain of these assumptions, particularly expected volatility, are not directly observable and may change significantly between reporting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these assumptions, individually or in combination, could materially affect the estimated fair value of the warrant liability and the amount of the related noncash gain or loss recognized in our results of operations. An increase in the market price or expected volatility of our common stock generally would increase the warrant liability and result in a noncash loss, while a decrease in those assumptions generally would reduce the warrant liability and result in a noncash gain. See Note 13, </w:t>
      </w:r>
      <w:r>
        <w:rPr>
          <w:rFonts w:ascii="Times New Roman;Times;Serif" w:hAnsi="Times New Roman;Times;Serif"/>
          <w:b w:val="false"/>
          <w:i/>
          <w:caps w:val="false"/>
          <w:smallCaps w:val="false"/>
          <w:sz w:val="20"/>
        </w:rPr>
        <w:t>Common Stock and Warrant Issuance</w:t>
      </w:r>
      <w:r>
        <w:rPr>
          <w:rFonts w:ascii="Times New Roman;Times;Serif" w:hAnsi="Times New Roman;Times;Serif"/>
          <w:b w:val="false"/>
          <w:i w:val="false"/>
          <w:caps w:val="false"/>
          <w:smallCaps w:val="false"/>
          <w:sz w:val="20"/>
        </w:rPr>
        <w:t xml:space="preserve">, and Note 12,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to our condensed consolidated financial statements for additional information.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periods, the FASB issued certain Accounting Standards Updates (“ASUs”) that may be relevant to the Company’s operations and financial reporting. We are currently evaluating the potential impact of these ASUs and adopting them when applicable based on their effective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Financial Accounting Standards Board (“FASB”) issued Accounting Standards Update (“ASU”) No. 2023-09, Income Taxes (Topic 740): Improvements to Income Tax Disclosures (“ASU 2023-09”), which improves the transparency of income tax disclosures by requiring companies to (1) disclose consistent categories and greater disaggregation of information in the effective rate reconciliation and (2) provide information on income taxes paid disaggregated by jurisdiction. ASU 2023-09 is effective for fiscal years beginning after December 15, 2024, although early adoption is permitted. The guidance should be applied on a prospective basis with the option to apply the standard retrospectively. We are currently evaluating the impact of adopting this ASU 2023-09 on our consolidated financial statements and disclosures for the annual period ending April 30, 2026.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2024-3, “Income Statement - Reporting Comprehensive Income - Expense Disaggregation Disclosures (Subtopic 220-40): Disaggregation of Income Statement Expenses.” This ASU improves the disclosures about a public business entity’s expenses and addresses requests from investors for more detailed information about the types of expenses in commonly presented expense captions. The new guidance is effective for fiscal years beginning after December 15, 2026, and interim periods within fiscal years beginning after December 15, 2027. Early adoption is permitted. We are currently evaluating what the potential impact of adopting this ASU 2024-03 could have on our consolidated financial statements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Accounting Standards Update 2025-05, Financial Instruments – Credit Losses (Topic 326): Measurement of Credit Losses for Accounts Receivable and Contract Assets (ASU 2025-05”). ASU 2025-05 provides a practical expedient that all entities can use when estimating expected credit losses for current accounts receivable and current contract assets arising from transactions accounted for under ASC 606, Revenue from Contracts with Customers. Under this practical expedient, an entity is allowed to assume that the current conditions it has applied in determining credit loss allowances for current accounts receivable and current contract assets remain unchanged for the remaining life of those assets. ASU 2025-05 is effective for fiscal years beginning after December 15, 2025, and interim reporting periods in those years. Entities that elect the practical expedient and, if applicable, make the accounting policy election are required to apply the amendments prospectively. The Company adopted ASU 2025-05 on May 1, 2026 and the adoption of this standard did not have a material impact on the Company’s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 - Goodwill and Other - Internal Use Software (Subtopic 350-40): Targeted Improvements to the Accounting for Internal-Use Software, which clarifies and modernizes certain aspects of the accounting for, and disclosure of, internal-use software costs. The ASU removes all references to software development project stages so that the guidance is neutral to different software development methods and clarifies the threshold entities apply to begin capitalizing costs. The ASU is effective for annual periods beginning after December 15, 2027, and interim periods within those annual periods. Early adoption is permitted. The Company is currently evaluating the impact that the adoption of this standard will have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Interim Reporting (Topic 270) which is intended to streamline the guidance in ASC 270, Interim Reporting, and clarify when it applies. Under the amendments, an entity is subject to ASC 270 if it provides interim financial statements and notes in accordance with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and early adoption is permitted. The Company is currently evaluating the impact that the adoption of this standard will have on the Company’s consolidated financial statements.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Operations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certain line items in our Statements of Operations and some of the factors that affect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focus our sales efforts in key global markets in North America, South America, Europe and Asia. In fiscal 2026, we made significant progress in diversifying our customer and geographic base. Our strategic efforts to expand into defense, energy, and environmental monitoring markets in Europe, the Middle East, and Africa (EMEA) resulted in a substantial increase in EMEA-sourced revenue. This geographic expansion reflects the increasing global relevance of our autonomous maritime systems, particularly among government and industrial customers. It also demonstrates the early success of our international channel development initiatives, which we intend to further scale in fiscal 2026 through targeted partnerships, regional deployments, and export-driven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percentage of our revenues by geographical location of our customers for the three months ended July 31, 2026 and 2025.</w:t>
      </w:r>
    </w:p>
    <w:p>
      <w:pPr>
        <w:pStyle w:val="TextBody"/>
        <w:bidi w:val="0"/>
        <w:spacing w:before="0" w:after="0"/>
        <w:ind w:left="0" w:right="0" w:hanging="0"/>
        <w:jc w:val="both"/>
        <w:rPr>
          <w:caps w:val="false"/>
          <w:smallCaps w:val="false"/>
        </w:rPr>
      </w:pPr>
      <w:r>
        <w:rPr>
          <w:caps w:val="false"/>
          <w:smallCaps w:val="false"/>
        </w:rPr>
        <w:t> </w:t>
      </w:r>
    </w:p>
    <w:tbl>
      <w:tblPr>
        <w:tblW w:w="6446" w:type="dxa"/>
        <w:jc w:val="left"/>
        <w:tblInd w:w="0" w:type="dxa"/>
        <w:tblLayout w:type="fixed"/>
        <w:tblCellMar>
          <w:top w:w="0" w:type="dxa"/>
          <w:left w:w="0" w:type="dxa"/>
          <w:bottom w:w="0" w:type="dxa"/>
          <w:right w:w="0" w:type="dxa"/>
        </w:tblCellMar>
      </w:tblPr>
      <w:tblGrid>
        <w:gridCol w:w="3185"/>
        <w:gridCol w:w="60"/>
        <w:gridCol w:w="154"/>
        <w:gridCol w:w="978"/>
        <w:gridCol w:w="553"/>
        <w:gridCol w:w="154"/>
        <w:gridCol w:w="154"/>
        <w:gridCol w:w="978"/>
        <w:gridCol w:w="230"/>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July 31,</w:t>
            </w:r>
          </w:p>
        </w:tc>
        <w:tc>
          <w:tcPr>
            <w:tcW w:w="230" w:type="dxa"/>
            <w:tcBorders/>
            <w:vAlign w:val="center"/>
          </w:tcPr>
          <w:p>
            <w:pPr>
              <w:pStyle w:val="TableContents"/>
              <w:bidi w:val="0"/>
              <w:spacing w:before="0" w:after="283"/>
              <w:jc w:val="left"/>
              <w:rPr/>
            </w:pPr>
            <w:r>
              <w:rPr/>
              <w:t> </w:t>
            </w:r>
          </w:p>
        </w:tc>
      </w:tr>
      <w:tr>
        <w:trPr/>
        <w:tc>
          <w:tcPr>
            <w:tcW w:w="3185" w:type="dxa"/>
            <w:tcBorders>
              <w:bottom w:val="single" w:sz="8" w:space="0" w:color="000000"/>
            </w:tcBorders>
            <w:tcMar>
              <w:bottom w:w="28" w:type="dxa"/>
            </w:tcMar>
            <w:vAlign w:val="center"/>
          </w:tcPr>
          <w:p>
            <w:pPr>
              <w:pStyle w:val="TableContents"/>
              <w:bidi w:val="0"/>
              <w:spacing w:before="0" w:after="283"/>
              <w:jc w:val="left"/>
              <w:rPr>
                <w:b/>
              </w:rPr>
            </w:pPr>
            <w:r>
              <w:rPr>
                <w:b/>
              </w:rPr>
              <w:t>Customer Location*</w:t>
            </w:r>
          </w:p>
        </w:tc>
        <w:tc>
          <w:tcPr>
            <w:tcW w:w="60" w:type="dxa"/>
            <w:tcBorders/>
            <w:vAlign w:val="center"/>
          </w:tcPr>
          <w:p>
            <w:pPr>
              <w:pStyle w:val="TableContents"/>
              <w:bidi w:val="0"/>
              <w:spacing w:before="0" w:after="283"/>
              <w:jc w:val="left"/>
              <w:rPr/>
            </w:pPr>
            <w:r>
              <w:rPr/>
              <w:t> </w:t>
            </w:r>
          </w:p>
        </w:tc>
        <w:tc>
          <w:tcPr>
            <w:tcW w:w="11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553"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1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2" w:type="dxa"/>
            <w:gridSpan w:val="2"/>
            <w:tcBorders/>
            <w:vAlign w:val="center"/>
          </w:tcPr>
          <w:p>
            <w:pPr>
              <w:pStyle w:val="TableContents"/>
              <w:bidi w:val="0"/>
              <w:spacing w:before="0" w:after="283"/>
              <w:jc w:val="left"/>
              <w:rPr/>
            </w:pPr>
            <w:r>
              <w:rPr/>
              <w:t> </w:t>
            </w:r>
          </w:p>
        </w:tc>
        <w:tc>
          <w:tcPr>
            <w:tcW w:w="553"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132"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North America &amp; South America</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80</w:t>
            </w:r>
          </w:p>
        </w:tc>
        <w:tc>
          <w:tcPr>
            <w:tcW w:w="553"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11</w:t>
            </w:r>
          </w:p>
        </w:tc>
        <w:tc>
          <w:tcPr>
            <w:tcW w:w="230" w:type="dxa"/>
            <w:tcBorders/>
            <w:shd w:fill="CCEEFF" w:val="clear"/>
            <w:vAlign w:val="center"/>
          </w:tcPr>
          <w:p>
            <w:pPr>
              <w:pStyle w:val="TableContents"/>
              <w:bidi w:val="0"/>
              <w:spacing w:before="0" w:after="283"/>
              <w:jc w:val="left"/>
              <w:rPr/>
            </w:pPr>
            <w:r>
              <w:rPr/>
              <w:t>%</w:t>
            </w:r>
          </w:p>
        </w:tc>
      </w:tr>
      <w:tr>
        <w:trPr/>
        <w:tc>
          <w:tcPr>
            <w:tcW w:w="3185" w:type="dxa"/>
            <w:tcBorders/>
            <w:shd w:fill="FFFFFF" w:val="clear"/>
            <w:vAlign w:val="center"/>
          </w:tcPr>
          <w:p>
            <w:pPr>
              <w:pStyle w:val="TableContents"/>
              <w:bidi w:val="0"/>
              <w:spacing w:before="0" w:after="283"/>
              <w:jc w:val="left"/>
              <w:rPr/>
            </w:pPr>
            <w:r>
              <w:rPr/>
              <w:t>EMEA</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5</w:t>
            </w:r>
          </w:p>
        </w:tc>
        <w:tc>
          <w:tcPr>
            <w:tcW w:w="553" w:type="dxa"/>
            <w:tcBorders/>
            <w:shd w:fill="FFFFFF" w:val="clear"/>
            <w:vAlign w:val="center"/>
          </w:tcPr>
          <w:p>
            <w:pPr>
              <w:pStyle w:val="TableContents"/>
              <w:bidi w:val="0"/>
              <w:spacing w:before="0" w:after="283"/>
              <w:jc w:val="left"/>
              <w:rPr/>
            </w:pPr>
            <w:r>
              <w:rPr/>
              <w:t>%</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89</w:t>
            </w:r>
          </w:p>
        </w:tc>
        <w:tc>
          <w:tcPr>
            <w:tcW w:w="230" w:type="dxa"/>
            <w:tcBorders/>
            <w:shd w:fill="FFFFFF" w:val="clear"/>
            <w:vAlign w:val="center"/>
          </w:tcPr>
          <w:p>
            <w:pPr>
              <w:pStyle w:val="TableContents"/>
              <w:bidi w:val="0"/>
              <w:spacing w:before="0" w:after="283"/>
              <w:jc w:val="left"/>
              <w:rPr/>
            </w:pPr>
            <w:r>
              <w:rPr/>
              <w:t>%</w:t>
            </w:r>
          </w:p>
        </w:tc>
      </w:tr>
      <w:tr>
        <w:trPr/>
        <w:tc>
          <w:tcPr>
            <w:tcW w:w="3185" w:type="dxa"/>
            <w:tcBorders/>
            <w:shd w:fill="CCEEFF" w:val="clear"/>
            <w:vAlign w:val="center"/>
          </w:tcPr>
          <w:p>
            <w:pPr>
              <w:pStyle w:val="TableContents"/>
              <w:bidi w:val="0"/>
              <w:spacing w:before="0" w:after="283"/>
              <w:jc w:val="left"/>
              <w:rPr/>
            </w:pPr>
            <w:r>
              <w:rPr/>
              <w:t>Asia &amp; Australia</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8" w:type="dxa"/>
            <w:tcBorders>
              <w:bottom w:val="single" w:sz="8" w:space="0" w:color="000000"/>
            </w:tcBorders>
            <w:shd w:fill="CCEEFF" w:val="clear"/>
            <w:tcMar>
              <w:bottom w:w="28" w:type="dxa"/>
            </w:tcMar>
            <w:vAlign w:val="center"/>
          </w:tcPr>
          <w:p>
            <w:pPr>
              <w:pStyle w:val="TableContents"/>
              <w:bidi w:val="0"/>
              <w:spacing w:before="0" w:after="283"/>
              <w:jc w:val="right"/>
              <w:rPr/>
            </w:pPr>
            <w:r>
              <w:rPr/>
              <w:t>15</w:t>
            </w:r>
          </w:p>
        </w:tc>
        <w:tc>
          <w:tcPr>
            <w:tcW w:w="553"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8" w:type="dxa"/>
            <w:tcBorders>
              <w:bottom w:val="single" w:sz="8" w:space="0" w:color="000000"/>
            </w:tcBorders>
            <w:shd w:fill="CCEEFF" w:val="clear"/>
            <w:tcMar>
              <w:bottom w:w="28" w:type="dxa"/>
            </w:tcMar>
            <w:vAlign w:val="center"/>
          </w:tcPr>
          <w:p>
            <w:pPr>
              <w:pStyle w:val="TableContents"/>
              <w:bidi w:val="0"/>
              <w:spacing w:before="0" w:after="283"/>
              <w:jc w:val="right"/>
              <w:rPr/>
            </w:pPr>
            <w:r>
              <w:rPr/>
              <w:t>&lt;1</w:t>
            </w:r>
          </w:p>
        </w:tc>
        <w:tc>
          <w:tcPr>
            <w:tcW w:w="230" w:type="dxa"/>
            <w:tcBorders/>
            <w:shd w:fill="CCEEFF" w:val="clear"/>
            <w:vAlign w:val="center"/>
          </w:tcPr>
          <w:p>
            <w:pPr>
              <w:pStyle w:val="TableContents"/>
              <w:bidi w:val="0"/>
              <w:spacing w:before="0" w:after="283"/>
              <w:jc w:val="left"/>
              <w:rPr/>
            </w:pPr>
            <w:r>
              <w:rPr/>
              <w:t>%</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78"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553" w:type="dxa"/>
            <w:tcBorders/>
            <w:shd w:fill="FFFFFF" w:val="clear"/>
            <w:vAlign w:val="center"/>
          </w:tcPr>
          <w:p>
            <w:pPr>
              <w:pStyle w:val="TableContents"/>
              <w:bidi w:val="0"/>
              <w:spacing w:before="0" w:after="283"/>
              <w:jc w:val="left"/>
              <w:rPr/>
            </w:pPr>
            <w:r>
              <w:rPr/>
              <w:t>%</w:t>
            </w:r>
          </w:p>
        </w:tc>
        <w:tc>
          <w:tcPr>
            <w:tcW w:w="154"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78"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For U.S. Government contracts, the revenue is classified as North American however, location of operations may differ.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 consists primarily of subcontracts, materials incurred, labor and manufacturing overhead expenses, such as engineering expenses, equipment depreciation, maintenance, and facility related expenses, and includes the cost of equipment to customize the PowerBuoy®, WAM-V® and our other products supplied by third-party suppliers. Cost of revenue also includes PowerBuoy® and other product system delivery and deployment expenses and may include losses recorded at the time a loss is forecasted to be incurred on a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Engineering and product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engineering and product enhancement costs consist of salaries and other personnel-related costs and the costs of products, materials and outside services used in our product enhancement and unfunded research activities. Our product enhancement costs relate primarily to our efforts to increase the power output and reliability of our PowerBuoy® system and other products, to enhance and optimize data monitoring and controls systems, and the development of new products, product applications and complementary technologies. We expense all of these costs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general and administrative costs consist primarily of professional fees, salaries, share-based compensation and other personnel-related costs for employees and consultants engaged in sales and marketing of our products, and costs for executive, accounting and administrative personnel, professional fees and other general corporate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net consists of interest received on cash, cash equivalents, and short-term investments and interest paid on certain obligations to third parties as well as amortization expense related to the premiums on the purchase of short-term investments.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gain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transact business in various countries and have exposure to fluctuations in foreign currency exchange rates. Since we conduct our business in U.S. dollars and our functional currency is the U.S. dollar, our main foreign exchange exposure, if any, results from changes in the exchange rate between the U.S. dollar and transactions settled in foreign 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completed the process of winding down its Australian subsidiary during fiscal 2024 and its UK subsidiary during fiscal 2025. The unrealized gains or losses resulting from foreign currency balances translation are included in Accumulated Other Comprehensive Loss within Shareholders’ Equity. Foreign currency transaction gains and losses are recognized within our Consolidated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hedge our exchange rate exposure. However, we assess the anticipated foreign currency working capital requirements and capital asset acquisitions of our foreign operations and assess the need and cost to utilize financial instruments to hedge currency exposures on an ongoing basis and may hedge against exchange rate exposure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should be read in conjunction with the discussion below under “Liquidity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Three months ended July 31, 2026 compared to the three months ended July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selected statement of operations information, which serves as the basis of the discussion of our results of operations for the three months ended July 31, 2026 and 2025.</w:t>
      </w:r>
    </w:p>
    <w:p>
      <w:pPr>
        <w:pStyle w:val="TextBody"/>
        <w:bidi w:val="0"/>
        <w:spacing w:before="0" w:after="0"/>
        <w:ind w:left="0" w:right="0" w:hanging="0"/>
        <w:jc w:val="center"/>
        <w:rPr>
          <w:caps w:val="false"/>
          <w:smallCaps w:val="false"/>
        </w:rPr>
      </w:pPr>
      <w:r>
        <w:rPr>
          <w:caps w:val="false"/>
          <w:smallCaps w:val="false"/>
        </w:rPr>
        <w:t> </w:t>
      </w:r>
    </w:p>
    <w:tbl>
      <w:tblPr>
        <w:tblW w:w="6342" w:type="dxa"/>
        <w:jc w:val="left"/>
        <w:tblInd w:w="0" w:type="dxa"/>
        <w:tblLayout w:type="fixed"/>
        <w:tblCellMar>
          <w:top w:w="0" w:type="dxa"/>
          <w:left w:w="0" w:type="dxa"/>
          <w:bottom w:w="0" w:type="dxa"/>
          <w:right w:w="0" w:type="dxa"/>
        </w:tblCellMar>
      </w:tblPr>
      <w:tblGrid>
        <w:gridCol w:w="3200"/>
        <w:gridCol w:w="60"/>
        <w:gridCol w:w="228"/>
        <w:gridCol w:w="1230"/>
        <w:gridCol w:w="154"/>
        <w:gridCol w:w="97"/>
        <w:gridCol w:w="228"/>
        <w:gridCol w:w="1035"/>
        <w:gridCol w:w="11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July 31,</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26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8" w:type="dxa"/>
            <w:gridSpan w:val="2"/>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263"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Product &amp; service revenue</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230" w:type="dxa"/>
            <w:tcBorders/>
            <w:shd w:fill="CCEEFF" w:val="clear"/>
            <w:vAlign w:val="center"/>
          </w:tcPr>
          <w:p>
            <w:pPr>
              <w:pStyle w:val="TableContents"/>
              <w:bidi w:val="0"/>
              <w:spacing w:before="0" w:after="283"/>
              <w:jc w:val="right"/>
              <w:rPr/>
            </w:pPr>
            <w:r>
              <w:rPr/>
              <w:t>1,046</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035" w:type="dxa"/>
            <w:tcBorders/>
            <w:shd w:fill="CCEEFF" w:val="clear"/>
            <w:vAlign w:val="center"/>
          </w:tcPr>
          <w:p>
            <w:pPr>
              <w:pStyle w:val="TableContents"/>
              <w:bidi w:val="0"/>
              <w:spacing w:before="0" w:after="283"/>
              <w:jc w:val="right"/>
              <w:rPr/>
            </w:pPr>
            <w:r>
              <w:rPr/>
              <w:t>1,115</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Lease revenue</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FFFFFF" w:val="clear"/>
            <w:tcMar>
              <w:bottom w:w="28" w:type="dxa"/>
            </w:tcMar>
            <w:vAlign w:val="center"/>
          </w:tcPr>
          <w:p>
            <w:pPr>
              <w:pStyle w:val="TableContents"/>
              <w:bidi w:val="0"/>
              <w:spacing w:before="0" w:after="283"/>
              <w:jc w:val="right"/>
              <w:rPr/>
            </w:pPr>
            <w:r>
              <w:rPr/>
              <w:t>656</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5" w:type="dxa"/>
            <w:tcBorders>
              <w:bottom w:val="single" w:sz="8" w:space="0" w:color="000000"/>
            </w:tcBorders>
            <w:shd w:fill="FFFFFF" w:val="clear"/>
            <w:tcMar>
              <w:bottom w:w="28" w:type="dxa"/>
            </w:tcMar>
            <w:vAlign w:val="center"/>
          </w:tcPr>
          <w:p>
            <w:pPr>
              <w:pStyle w:val="TableContents"/>
              <w:bidi w:val="0"/>
              <w:spacing w:before="0" w:after="283"/>
              <w:jc w:val="right"/>
              <w:rPr/>
            </w:pPr>
            <w:r>
              <w:rPr/>
              <w:t>67</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1,703</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1,182</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FFFFFF" w:val="clear"/>
            <w:tcMar>
              <w:bottom w:w="28" w:type="dxa"/>
            </w:tcMar>
            <w:vAlign w:val="center"/>
          </w:tcPr>
          <w:p>
            <w:pPr>
              <w:pStyle w:val="TableContents"/>
              <w:bidi w:val="0"/>
              <w:spacing w:before="0" w:after="283"/>
              <w:jc w:val="right"/>
              <w:rPr/>
            </w:pPr>
            <w:r>
              <w:rPr/>
              <w:t>4,534</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5" w:type="dxa"/>
            <w:tcBorders>
              <w:bottom w:val="single" w:sz="8" w:space="0" w:color="000000"/>
            </w:tcBorders>
            <w:shd w:fill="FFFFFF" w:val="clear"/>
            <w:tcMar>
              <w:bottom w:w="28" w:type="dxa"/>
            </w:tcMar>
            <w:vAlign w:val="center"/>
          </w:tcPr>
          <w:p>
            <w:pPr>
              <w:pStyle w:val="TableContents"/>
              <w:bidi w:val="0"/>
              <w:spacing w:before="0" w:after="283"/>
              <w:jc w:val="right"/>
              <w:rPr/>
            </w:pPr>
            <w:r>
              <w:rPr/>
              <w:t>1,205</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(2,831</w:t>
            </w:r>
          </w:p>
        </w:tc>
        <w:tc>
          <w:tcPr>
            <w:tcW w:w="154" w:type="dxa"/>
            <w:tcBorders/>
            <w:shd w:fill="CCEEFF" w:val="clear"/>
            <w:vAlign w:val="center"/>
          </w:tcPr>
          <w:p>
            <w:pPr>
              <w:pStyle w:val="TableContents"/>
              <w:bidi w:val="0"/>
              <w:spacing w:before="0" w:after="283"/>
              <w:jc w:val="left"/>
              <w:rPr/>
            </w:pPr>
            <w:r>
              <w:rPr/>
              <w:t>)</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(23</w:t>
            </w:r>
          </w:p>
        </w:tc>
        <w:tc>
          <w:tcPr>
            <w:tcW w:w="11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12,246</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7,055</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Operating loss</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FFFFFF" w:val="clear"/>
            <w:tcMar>
              <w:bottom w:w="28" w:type="dxa"/>
            </w:tcMar>
            <w:vAlign w:val="center"/>
          </w:tcPr>
          <w:p>
            <w:pPr>
              <w:pStyle w:val="TableContents"/>
              <w:bidi w:val="0"/>
              <w:spacing w:before="0" w:after="283"/>
              <w:jc w:val="right"/>
              <w:rPr/>
            </w:pPr>
            <w:r>
              <w:rPr/>
              <w:t>(15,077</w:t>
            </w:r>
          </w:p>
        </w:tc>
        <w:tc>
          <w:tcPr>
            <w:tcW w:w="154" w:type="dxa"/>
            <w:tcBorders/>
            <w:shd w:fill="FFFFFF" w:val="clear"/>
            <w:vAlign w:val="center"/>
          </w:tcPr>
          <w:p>
            <w:pPr>
              <w:pStyle w:val="TableContents"/>
              <w:bidi w:val="0"/>
              <w:spacing w:before="0" w:after="283"/>
              <w:jc w:val="left"/>
              <w:rPr/>
            </w:pPr>
            <w:r>
              <w:rPr/>
              <w:t>)</w:t>
            </w:r>
          </w:p>
        </w:tc>
        <w:tc>
          <w:tcPr>
            <w:tcW w:w="97"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5" w:type="dxa"/>
            <w:tcBorders>
              <w:bottom w:val="single" w:sz="8" w:space="0" w:color="000000"/>
            </w:tcBorders>
            <w:shd w:fill="FFFFFF" w:val="clear"/>
            <w:tcMar>
              <w:bottom w:w="28" w:type="dxa"/>
            </w:tcMar>
            <w:vAlign w:val="center"/>
          </w:tcPr>
          <w:p>
            <w:pPr>
              <w:pStyle w:val="TableContents"/>
              <w:bidi w:val="0"/>
              <w:spacing w:before="0" w:after="283"/>
              <w:jc w:val="right"/>
              <w:rPr/>
            </w:pPr>
            <w:r>
              <w:rPr/>
              <w:t>(7,078</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 </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Interest income/(expense), net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(373</w:t>
            </w:r>
          </w:p>
        </w:tc>
        <w:tc>
          <w:tcPr>
            <w:tcW w:w="154" w:type="dxa"/>
            <w:tcBorders/>
            <w:shd w:fill="FFFFFF" w:val="clear"/>
            <w:vAlign w:val="center"/>
          </w:tcPr>
          <w:p>
            <w:pPr>
              <w:pStyle w:val="TableContents"/>
              <w:bidi w:val="0"/>
              <w:spacing w:before="0" w:after="283"/>
              <w:jc w:val="left"/>
              <w:rPr/>
            </w:pPr>
            <w:r>
              <w:rPr/>
              <w:t>)</w:t>
            </w:r>
          </w:p>
        </w:tc>
        <w:tc>
          <w:tcPr>
            <w:tcW w:w="97"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35" w:type="dxa"/>
            <w:tcBorders/>
            <w:shd w:fill="FFFFFF" w:val="clear"/>
            <w:vAlign w:val="center"/>
          </w:tcPr>
          <w:p>
            <w:pPr>
              <w:pStyle w:val="TableContents"/>
              <w:bidi w:val="0"/>
              <w:spacing w:before="0" w:after="283"/>
              <w:jc w:val="right"/>
              <w:rPr/>
            </w:pPr>
            <w:r>
              <w:rPr/>
              <w:t>(310</w:t>
            </w:r>
          </w:p>
        </w:tc>
        <w:tc>
          <w:tcPr>
            <w:tcW w:w="110" w:type="dxa"/>
            <w:tcBorders/>
            <w:shd w:fill="FFFFFF" w:val="clear"/>
            <w:vAlign w:val="center"/>
          </w:tcPr>
          <w:p>
            <w:pPr>
              <w:pStyle w:val="TableContents"/>
              <w:bidi w:val="0"/>
              <w:spacing w:before="0" w:after="283"/>
              <w:jc w:val="left"/>
              <w:rPr/>
            </w:pPr>
            <w:r>
              <w:rPr/>
              <w:t>)</w:t>
            </w:r>
          </w:p>
        </w:tc>
      </w:tr>
      <w:tr>
        <w:trPr/>
        <w:tc>
          <w:tcPr>
            <w:tcW w:w="3200" w:type="dxa"/>
            <w:tcBorders/>
            <w:shd w:fill="CCEEFF" w:val="clear"/>
            <w:vAlign w:val="center"/>
          </w:tcPr>
          <w:p>
            <w:pPr>
              <w:pStyle w:val="TableContents"/>
              <w:bidi w:val="0"/>
              <w:spacing w:before="0" w:after="283"/>
              <w:jc w:val="left"/>
              <w:rPr/>
            </w:pPr>
            <w:r>
              <w:rPr/>
              <w:t>Change in fair value of derivative</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4,912</w:t>
            </w:r>
          </w:p>
        </w:tc>
        <w:tc>
          <w:tcPr>
            <w:tcW w:w="15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Foreign exchange loss</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FFFFFF" w:val="clear"/>
            <w:tcMar>
              <w:bottom w:w="28" w:type="dxa"/>
            </w:tcMar>
            <w:vAlign w:val="center"/>
          </w:tcPr>
          <w:p>
            <w:pPr>
              <w:pStyle w:val="TableContents"/>
              <w:bidi w:val="0"/>
              <w:spacing w:before="0" w:after="283"/>
              <w:jc w:val="right"/>
              <w:rPr/>
            </w:pPr>
            <w:r>
              <w:rPr/>
              <w:t>(1</w:t>
            </w:r>
          </w:p>
        </w:tc>
        <w:tc>
          <w:tcPr>
            <w:tcW w:w="154" w:type="dxa"/>
            <w:tcBorders/>
            <w:shd w:fill="FFFFFF" w:val="clear"/>
            <w:vAlign w:val="center"/>
          </w:tcPr>
          <w:p>
            <w:pPr>
              <w:pStyle w:val="TableContents"/>
              <w:bidi w:val="0"/>
              <w:spacing w:before="0" w:after="283"/>
              <w:jc w:val="left"/>
              <w:rPr/>
            </w:pPr>
            <w:r>
              <w:rPr/>
              <w:t>)</w:t>
            </w:r>
          </w:p>
        </w:tc>
        <w:tc>
          <w:tcPr>
            <w:tcW w:w="97"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CCEEFF" w:val="clear"/>
            <w:tcMar>
              <w:bottom w:w="28" w:type="dxa"/>
            </w:tcMar>
            <w:vAlign w:val="center"/>
          </w:tcPr>
          <w:p>
            <w:pPr>
              <w:pStyle w:val="TableContents"/>
              <w:bidi w:val="0"/>
              <w:spacing w:before="0" w:after="283"/>
              <w:jc w:val="right"/>
              <w:rPr/>
            </w:pPr>
            <w:r>
              <w:rPr/>
              <w:t>(10,537</w:t>
            </w:r>
          </w:p>
        </w:tc>
        <w:tc>
          <w:tcPr>
            <w:tcW w:w="154" w:type="dxa"/>
            <w:tcBorders/>
            <w:shd w:fill="CCEEFF" w:val="clear"/>
            <w:vAlign w:val="center"/>
          </w:tcPr>
          <w:p>
            <w:pPr>
              <w:pStyle w:val="TableContents"/>
              <w:bidi w:val="0"/>
              <w:spacing w:before="0" w:after="283"/>
              <w:jc w:val="left"/>
              <w:rPr/>
            </w:pPr>
            <w:r>
              <w:rPr/>
              <w:t>)</w:t>
            </w:r>
          </w:p>
        </w:tc>
        <w:tc>
          <w:tcPr>
            <w:tcW w:w="97"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5" w:type="dxa"/>
            <w:tcBorders>
              <w:bottom w:val="single" w:sz="8" w:space="0" w:color="000000"/>
            </w:tcBorders>
            <w:shd w:fill="CCEEFF" w:val="clear"/>
            <w:tcMar>
              <w:bottom w:w="28" w:type="dxa"/>
            </w:tcMar>
            <w:vAlign w:val="center"/>
          </w:tcPr>
          <w:p>
            <w:pPr>
              <w:pStyle w:val="TableContents"/>
              <w:bidi w:val="0"/>
              <w:spacing w:before="0" w:after="283"/>
              <w:jc w:val="right"/>
              <w:rPr/>
            </w:pPr>
            <w:r>
              <w:rPr/>
              <w:t>(7,388</w:t>
            </w:r>
          </w:p>
        </w:tc>
        <w:tc>
          <w:tcPr>
            <w:tcW w:w="110" w:type="dxa"/>
            <w:tcBorders/>
            <w:shd w:fill="CCEEFF" w:val="clear"/>
            <w:vAlign w:val="center"/>
          </w:tcPr>
          <w:p>
            <w:pPr>
              <w:pStyle w:val="TableContents"/>
              <w:bidi w:val="0"/>
              <w:spacing w:before="0" w:after="283"/>
              <w:jc w:val="left"/>
              <w:rPr/>
            </w:pPr>
            <w:r>
              <w:rPr/>
              <w:t>)</w:t>
            </w:r>
          </w:p>
        </w:tc>
      </w:tr>
      <w:tr>
        <w:trPr/>
        <w:tc>
          <w:tcPr>
            <w:tcW w:w="3200"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CCEEFF" w:val="clear"/>
            <w:tcMar>
              <w:bottom w:w="28" w:type="dxa"/>
            </w:tcMar>
            <w:vAlign w:val="center"/>
          </w:tcPr>
          <w:p>
            <w:pPr>
              <w:pStyle w:val="TableContents"/>
              <w:bidi w:val="0"/>
              <w:spacing w:before="0" w:after="283"/>
              <w:jc w:val="right"/>
              <w:rPr/>
            </w:pPr>
            <w:r>
              <w:rPr/>
              <w:t>(10,537</w:t>
            </w:r>
          </w:p>
        </w:tc>
        <w:tc>
          <w:tcPr>
            <w:tcW w:w="154" w:type="dxa"/>
            <w:tcBorders/>
            <w:shd w:fill="CCEEFF" w:val="clear"/>
            <w:vAlign w:val="center"/>
          </w:tcPr>
          <w:p>
            <w:pPr>
              <w:pStyle w:val="TableContents"/>
              <w:bidi w:val="0"/>
              <w:spacing w:before="0" w:after="283"/>
              <w:jc w:val="left"/>
              <w:rPr/>
            </w:pPr>
            <w:r>
              <w:rPr/>
              <w:t>)</w:t>
            </w:r>
          </w:p>
        </w:tc>
        <w:tc>
          <w:tcPr>
            <w:tcW w:w="97"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5" w:type="dxa"/>
            <w:tcBorders>
              <w:bottom w:val="single" w:sz="8" w:space="0" w:color="000000"/>
            </w:tcBorders>
            <w:shd w:fill="CCEEFF" w:val="clear"/>
            <w:tcMar>
              <w:bottom w:w="28" w:type="dxa"/>
            </w:tcMar>
            <w:vAlign w:val="center"/>
          </w:tcPr>
          <w:p>
            <w:pPr>
              <w:pStyle w:val="TableContents"/>
              <w:bidi w:val="0"/>
              <w:spacing w:before="0" w:after="283"/>
              <w:jc w:val="right"/>
              <w:rPr/>
            </w:pPr>
            <w:r>
              <w:rPr/>
              <w:t>(7,388</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the three months ended July 31, 2026 increased approximately $0.5 million related primarily to ongoing buoy operations during the current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three months ended July 31, 2026 increased approximately $3.3 million and is related primarily to the recognition of one-time losses associated with contracts in strategically important markets, including $0.3 million related to revenue and cost of goods sold at no margin to the Company for change orders on existing contract. The expenses and revenues associated with these projects will continue over the next several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three months ended July 31, 2026 increased approximately $5.2 million and was primarily the result of the significant increases in product development of $2.6 million, one-time non-cash losses on abandonment of assets and warrant acquisition expense of $1.4 million, and increases in employee-related expenses of $0.8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development expenses increased by $2.6 million to $2.7 million for the three months ended July 31, 2026, compared with $0.1 million for the corresponding prior-year period. The increase was primarily attributable to a charge related to the July 2026 acquisition of in-process research and development assets from Columbia Power Technologies, Inc. The acquired technology had not reached technological feasibility and had no alternative future use and, accordingly, the acquisition-date cost was expensed. Approximately $2.0 of the charge related to common stock issued as consideration and was noncash.</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for the three months ended July 31, 2026 and 2025 was $373,000 and $310,000, respectively, with the change primarily related to interest expenses associated with the May and October 2025 convertible notes and the April 2026 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derivatives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issued in the June 2026 registered direct offering are accounted for as derivative liabilities and are measured at fair value at each reporting date. For the three months ended July 31, 2026, we recognized a noncash gain of approximately $4.9 million from the change in fair value of the warrant liability. There was no comparable amount during the corresponding period of the prior year. The change in fair value during the period was primarily attributable to changes in the market price of our common stock and other valuation assumptions. Because the warrant liability is remeasured each reporting period, changes in our stock price and the other valuation assumptions may result in significant noncash gains or losses in future periods. These fair-value adjustments affect our reported results of operations but do not affect our cash flows from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requirements relate primarily to working capital needed to operate and grow our business including funding operating expenses. We have experienced and continue to experience negative cash flows from operations and net losses. The Company incurred net losses of $10.5 million and $7.4 million for the three months ended July 31, 2026 and 2025, respectively. Refer to “Liquidity Outlook” below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8, 2026, we completed a registered direct offering in which we issued 833,334 shares of common stock together with warrants to purchase up to 833,334 additional shares of common stock. The combined purchase price was $12.00 for each share of common stock and accompanying warrant. We received gross proceeds of $10.0 million and net proceeds of approximately $9.3 million after placement-agent fees and other offering expenses. We used a portion of the net proceeds to repay principal and other amounts due under our convertible notes payable. The remaining proceeds have been, and are expected to be, used for working capital and other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increased our liquidity during the quarter; however, the net proceeds do not eliminate our need to obtain additional capital to fund our operations and satisfy our obligations. We expect to continue evaluating potential sources of capital, which may include additional public or private equity offerings, debt financings, strategic transactions or other financing arrangements. Our ability to obtain additional financing is subject to market conditions and other factors beyond our control, and there can be no assurance that financing will be available when needed or on acceptable terms. If we are unable to manage this, we may have to consider other options, such as selling assets, raising additional debt or equity capital, filing bankruptcy, or ceasing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become exercisable on December 8, 2026, at an initial exercise price of $12.00 per share. If all warrants were exercised for cash at the initial exercise price, we would receive additional gross proceeds of $10.0 million. However the decision to exercise the warrants is within the control of the holders. Accordingly, we cannot predict whether or when the warrants will be exercised, and potential proceeds from their exercise should not be considered a committed source of liquidity. We have not assumed the receipt of any warrant exercise proceeds in our assessment of available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three months ended July 31, 2026 included approximately $9.0 million of net proceeds from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July 31, 2026, net cash used in operating activities was $10.2 million, an increase of $4.6 million compared to net cash used in operating activities during the three months ended July 31, 2025 of $5.6 million. This primarily reflects an increase in net loss of $3.1 million, contract assets, contract liabilities, and inventory on hand, partially offset an increase in accounts payable in the current year versus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during the three months ended July 31, 2026 was $0.1 million, compared to $1.5 million during the three months ended July 31, 2025, a change of $1.3 million. The net cash used in investing activities during the three months ended July 31, 2026 was due to the purchase of property, plant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during the three months ended July 31, 2026 and July 31, 2025 was $9.0 million and $10.2 million, respectively. The current year activity was driven by the proceeds raised related to the June common stock and warrant offering of $10.0 million and ATM proceeds of $1.4 million, and the prior year activity was related primarily to ATM proceeds of $0.3 million, and $9.9 million in proceeds related to convertible debt issued in May 2025 discussed above under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exchange rates on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material effect of exchange rates on cash and cash equivalents during either the three months ended July 31, 2026 and July 31, 2025.</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Outlook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the cash flows from customer revenues have not been sufficient to fund our operations and provide the capital resources for our business. As of July 31, 2026, our year-to-date revenues were $1.7 million, our year-to-date net losses were $10.5 million, and our year-to-date net cash used in operating activities was $10.2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devote substantial resources to expand our sales, marketing and manufacturing programs associated with the continued commercialization of our products. Our future capital requirements will depend on several factors,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improve, market and commercialize our products, and achieve and sustain profitability;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improvement of our proprietary technologies, and expected continued use of cash from operating activities unless or until we achieve positive cash flow from the commercialization of our products and services;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current legislation, regulations and economic conditions regarding Federal governmental tariffs, and the potential that this affects the demand for, or restricts the use of, our products and services;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funding, as and if needed, which will be subject to several factors, including market conditions, our financial condition and our operating performance;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the covenants and other obligations under our convertible notes;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do business with properly qualified customers that have good credit ratings and pay their obligation on a timely basis;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continue as a going concern due to constrained liquidity in our business;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history of operating losses, which we expect to continue for at least the short-term and possibly longer;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challenges and expenses associated with communications and disputes with activist shareholders, including litigation;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and mitigate risks associated with our internal cyber security protocols and protection of the data we collect and distribute;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portfolio;</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potential inflation related to the U.S. dollar on our business, operations, customers, suppliers, manufacturers, and personnel;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product enhancement,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forecasts and estimates regarding future expenses, revenue, gross margin, cash flow and capital requirements;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and penetrate markets for our products, services, and solutions;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respond to competition in our targeted markets;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relationships with our existing and future strategic partners which may not be successful;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common stock on the NYSE American;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reliability and continuous improvement of our technology, products and solutions;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increase or more efficiently utilize the synergies available from our product lines: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expand markets across geographic boundaries;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 successful with Federal government work which is complex due to various statutes and regulations applicable to doing business with the Federal government;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 successful doing business internationally which requires strict compliance with applicable statutes and regulations;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geopolitical world uncertainty, including tariffs, Russia’s invasion of Ukraine, the Israel/Palestine conflict, the Iran War and previous attacks on merchant ships in the Red Sea;</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that new foreign country tariffs may have on our ability (i) to source and procure necessary raw materials for the manufacture and provision of our products and services; and (ii) to deliver our products to such foreign countries;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retain key personnel, including senior management, to achieve our business objectives;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consistent commercial profit margins;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recurring operating losses, negative cash flows, limited liquidity and unwaived event of default under the Notes raise substantial doubt about our ability to continue as a going concern.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capital intensive, and through July 31, 2026, we have been funding our business principally through sales of our securities. As of July 31, 2026, our cash and cash equivalents and long-term restricted cash balance was $7.5 million and we expect to fund our business with this amount and, to a lesser extent, with our cash flow generated from operations. Management believes the Company’s current cash and cash equivalents, and short term investments, may not be sufficient to fund its planned expenditures through September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conditions and events raise substantial doubt about the Company’s ability to continue as a going concern for at least a period of one year from the issuance of these consolidated financial statements. The ability to continue as a going concern is dependent upon the Company’s operations in the future and/or obtaining the necessary financing to meet its obligations and repay its liabilities arising from normal business operations when they become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not engaged in any off-balance sheet financing activities.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1" w:name="a_009"/>
      <w:bookmarkEnd w:id="661"/>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2" w:name="a_010"/>
      <w:bookmarkEnd w:id="662"/>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Disclosure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provide reasonable assurance that material information required to be disclosed in our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designing and evaluating the disclosure controls and procedures, management recognized that 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a company have been detected.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the period covered by this report, we carried out an evaluation, under the supervision and with the participation of our management, including our CEO and CFO, of the effectiveness of the design and operation of our disclosure controls based upon the framework presented in “Internal Control-Integrated Framework” (2013) issued by the Committee of Sponsoring Organizations of the Treadway Commission (“COSO”). Based upon that evaluation, our CEO and CFO concluded that our disclosure controls and procedures were not effective as of July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Management’s Annual Report on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such term is defined in Exchange Act Rule 13a-15(f) and 15d-15(f). Our internal control over financial reporting is a process designed to provide reasonable assurance regarding the reliability of financial reporting and the preparation of our financial statements for external purposes in accordance with U.S. generally accepted accounting principles. 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(2013), issued by the Committee of Sponsoring Organizations of the Treadway Commission. Based on our evaluation under the framework in Internal Control—Integrated Framework, our management concluded that the Company had an entity level material weakness in the application of the COSO framework which led to the following material weaknesses: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design and maintain effective controls over the identification, evaluation, valuation and accounting for complex and/or non-routine transactions, including transactions related to revenue recognition and convertible debt agreements. Specifically, the Company did not design and maintain effective controls to ensure that complex and/or non-routine transactions were appropriately identified, evaluated, valued and accounted for in accordance with generally accepted accounting principles in the United States.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design and maintain effective controls over the completeness and accuracy of key data elements and system-generated reports derived from our inventory management system used in financial reporting. Specifically, the Company did not design and maintain effective controls related to inventory movements to validate inventory aging, and consequently, there were insufficient controls over the completeness and accuracy of key data elements used in evaluating the appropriateness of the valuation of inventory.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deficiencies identified within each of the above areas are considered in the aggregate, these deficiencies rise to the level of material weaknesses. These material weaknesses did not result in a material misstatement to our annual or interim financial statements. As the business grows, new processes and procedures will need to be implemented. We are continuing our remediation plan and are in the process of implementing measures designed to improve internal control over financial reporting to remediate the control deficiencies that led to our material weaknesses. This includes, among other things, reviewing the need for additional resources as well as ensuring personnel possess or obtain appropriate expertise to perform specific reviews of technical areas, and designing and implementing improved processes.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identified material weaknesses, management believes that the financial statements and related financial information included in this Form 10-Q fairly present, in all material respects, our balance sheets, statements of operations, statements of changes in stockholders’ equity (deficit) and statements of cash flows as of and for the periods 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Remediation of the Material Weaknesses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establishing and maintaining a strong internal control environment. We will continue to assess the effectiveness of our internal control over financial reporting and implement measures designed to help ensure that control deficiencies contributing to the material weaknesses are remediated as soon as possible. In light of the identified material weaknesses in internal control over financial reporting, management intends to enhance its controls period-end close processes, including identification of complex, non-routine transactions. These enhancements will include strengthening review procedures, increasing the level of precision applied in account analyses, and ensuring timely preparation and review of technical accounting memorandums by experienced members of the accounting team, including senior leadership.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defined in Rules 13a-15(f) and 15d-15(f) under the Exchange Act) during the three months ended July 31, 2026 that have materially affected, or are reasonably likely to materially affect, our internal control over financial reporting.</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63" w:name="a_011"/>
      <w:bookmarkEnd w:id="663"/>
      <w:r>
        <w:rPr>
          <w:rFonts w:ascii="Times New Roman;Times;Serif" w:hAnsi="Times New Roman;Times;Serif"/>
          <w:b/>
          <w:i w:val="false"/>
          <w:caps w:val="false"/>
          <w:smallCaps w:val="false"/>
          <w:sz w:val="20"/>
        </w:rPr>
        <w:t>PART II — OTHER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4" w:name="a_012"/>
      <w:bookmarkEnd w:id="664"/>
      <w:r>
        <w:rPr>
          <w:rFonts w:ascii="Times New Roman;Times;Serif" w:hAnsi="Times New Roman;Times;Serif"/>
          <w:b/>
          <w:i w:val="false"/>
          <w:caps w:val="false"/>
          <w:smallCaps w:val="false"/>
          <w:sz w:val="20"/>
        </w:rPr>
        <w:t xml:space="preserve">Item 1. </w:t>
      </w:r>
      <w:r>
        <w:rPr>
          <w:rFonts w:ascii="Times New Roman;Times;Serif" w:hAnsi="Times New Roman;Times;Serif"/>
          <w:b/>
          <w:i/>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normal business activities, we are party to a number of legal proceedings and other matters in various stages of development. Management periodically assesses our liabilities and contingencies in connection with these matters based upon the latest information available. We disclose material pending legal proceedings pursuant to SEC rules and other pending matters as we may determine to be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on matters in dispute, see Note 14 to the Consolidated Financial Statements under Part I, Item 1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5" w:name="a_013"/>
      <w:bookmarkEnd w:id="665"/>
      <w:r>
        <w:rPr>
          <w:rFonts w:ascii="Times New Roman;Times;Serif" w:hAnsi="Times New Roman;Times;Serif"/>
          <w:b/>
          <w:i w:val="false"/>
          <w:caps w:val="false"/>
          <w:smallCaps w:val="false"/>
          <w:sz w:val="20"/>
        </w:rPr>
        <w:t xml:space="preserve">Item 1A. </w:t>
      </w:r>
      <w:r>
        <w:rPr>
          <w:rFonts w:ascii="Times New Roman;Times;Serif" w:hAnsi="Times New Roman;Times;Serif"/>
          <w:b/>
          <w:i/>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of our business and operations should be read together with the risk factors contained in Item 1A of our Annual Report on Form 10-K for the year ended April 30, 2026 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August 19,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6" w:name="a_014"/>
      <w:bookmarkEnd w:id="666"/>
      <w:r>
        <w:rPr>
          <w:rFonts w:ascii="Times New Roman;Times;Serif" w:hAnsi="Times New Roman;Times;Serif"/>
          <w:b/>
          <w:i w:val="false"/>
          <w:caps w:val="false"/>
          <w:smallCaps w:val="false"/>
          <w:sz w:val="20"/>
        </w:rPr>
        <w:t xml:space="preserve">Item 2. </w:t>
      </w:r>
      <w:r>
        <w:rPr>
          <w:rFonts w:ascii="Times New Roman;Times;Serif" w:hAnsi="Times New Roman;Times;Serif"/>
          <w:b/>
          <w:i/>
          <w:caps w:val="false"/>
          <w:smallCaps w:val="false"/>
          <w:sz w:val="20"/>
        </w:rPr>
        <w:t>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7" w:name="a_015"/>
      <w:bookmarkEnd w:id="667"/>
      <w:r>
        <w:rPr>
          <w:rFonts w:ascii="Times New Roman;Times;Serif" w:hAnsi="Times New Roman;Times;Serif"/>
          <w:b/>
          <w:i w:val="false"/>
          <w:caps w:val="false"/>
          <w:smallCaps w:val="false"/>
          <w:sz w:val="20"/>
        </w:rPr>
        <w:t xml:space="preserve">Item 3. </w:t>
      </w:r>
      <w:r>
        <w:rPr>
          <w:rFonts w:ascii="Times New Roman;Times;Serif" w:hAnsi="Times New Roman;Times;Serif"/>
          <w:b/>
          <w:i/>
          <w:caps w:val="false"/>
          <w:smallCaps w:val="false"/>
          <w:sz w:val="20"/>
        </w:rPr>
        <w:t>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8" w:name="a_016"/>
      <w:bookmarkEnd w:id="668"/>
      <w:r>
        <w:rPr>
          <w:rFonts w:ascii="Times New Roman;Times;Serif" w:hAnsi="Times New Roman;Times;Serif"/>
          <w:b/>
          <w:i w:val="false"/>
          <w:caps w:val="false"/>
          <w:smallCaps w:val="false"/>
          <w:sz w:val="20"/>
        </w:rPr>
        <w:t xml:space="preserve">Item 4. </w:t>
      </w:r>
      <w:r>
        <w:rPr>
          <w:rFonts w:ascii="Times New Roman;Times;Serif" w:hAnsi="Times New Roman;Times;Serif"/>
          <w:b/>
          <w:i/>
          <w:caps w:val="false"/>
          <w:smallCaps w:val="false"/>
          <w:sz w:val="20"/>
        </w:rPr>
        <w:t>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9" w:name="a_017"/>
      <w:bookmarkEnd w:id="669"/>
      <w:r>
        <w:rPr>
          <w:rFonts w:ascii="Times New Roman;Times;Serif" w:hAnsi="Times New Roman;Times;Serif"/>
          <w:b/>
          <w:i w:val="false"/>
          <w:caps w:val="false"/>
          <w:smallCaps w:val="false"/>
          <w:sz w:val="20"/>
        </w:rPr>
        <w:t xml:space="preserve">Item 5. </w:t>
      </w:r>
      <w:r>
        <w:rPr>
          <w:rFonts w:ascii="Times New Roman;Times;Serif" w:hAnsi="Times New Roman;Times;Serif"/>
          <w:b/>
          <w:i/>
          <w:caps w:val="false"/>
          <w:smallCaps w:val="false"/>
          <w:sz w:val="20"/>
        </w:rPr>
        <w:t>OTHER INFORMATION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0" w:name="a_018"/>
      <w:bookmarkEnd w:id="670"/>
      <w:r>
        <w:rPr>
          <w:rFonts w:ascii="Times New Roman;Times;Serif" w:hAnsi="Times New Roman;Times;Serif"/>
          <w:b/>
          <w:i w:val="false"/>
          <w:caps w:val="false"/>
          <w:smallCaps w:val="false"/>
          <w:sz w:val="20"/>
        </w:rPr>
        <w:t xml:space="preserve">Item 6. </w:t>
      </w:r>
      <w:r>
        <w:rPr>
          <w:rFonts w:ascii="Times New Roman;Times;Serif" w:hAnsi="Times New Roman;Times;Serif"/>
          <w:b/>
          <w:i/>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3"/>
        <w:gridCol w:w="139"/>
        <w:gridCol w:w="9593"/>
      </w:tblGrid>
      <w:tr>
        <w:trPr/>
        <w:tc>
          <w:tcPr>
            <w:tcW w:w="4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Amended and Restated Certificate of Designations of Series A Participating Preferred Stock of Ocean Power Technologies, Inc. (incorporated by reference to Exhibit 3.1 to the Company’s Current Report on Form 8-K filed on June 29, 2026).</w:t>
              </w:r>
            </w:hyperlink>
          </w:p>
        </w:tc>
      </w:tr>
      <w:tr>
        <w:trPr/>
        <w:tc>
          <w:tcPr>
            <w:tcW w:w="473"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Certificate of Amendment to the Certificate of Incorporation of Ocean Power Technologies, Inc. filed with the Secretary of State of the State of Delaware on September 11, 2026 (incorporated by reference to Exhibit 3.1 to the Current Report on Form 8-K filed with the Securities and Exchange Commission by Ocean Power Technologies, Inc. on September 11, 2026).</w:t>
              </w:r>
            </w:hyperlink>
          </w:p>
        </w:tc>
      </w:tr>
      <w:tr>
        <w:trPr/>
        <w:tc>
          <w:tcPr>
            <w:tcW w:w="473"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Form of Common Warrant (incorporated by reference to Exhibit 4.1 to the Company’s Current Report on Form 8-K filed on June 8, 2026).</w:t>
              </w:r>
            </w:hyperlink>
          </w:p>
        </w:tc>
      </w:tr>
      <w:tr>
        <w:trPr/>
        <w:tc>
          <w:tcPr>
            <w:tcW w:w="473"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Amended and Restated Section 382 Tax Benefits Preservation Plan, dated as of June 29, 2026, by and between Ocean Power Technologies, Inc. and Computershare Trust Company, N.A., as Rights Agent (incorporated by reference to Exhibit 4.1 to the Company’s Current Report on Form 8-K filed on Jun 29, 2026).</w:t>
              </w:r>
            </w:hyperlink>
          </w:p>
        </w:tc>
      </w:tr>
      <w:tr>
        <w:trPr/>
        <w:tc>
          <w:tcPr>
            <w:tcW w:w="473"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Form of Securities Purchase Agreement (incorporated by reference to Exhibit 10.1 to the Company’s Current Report on Form 8-K filed on June 8, 2026).</w:t>
              </w:r>
            </w:hyperlink>
          </w:p>
        </w:tc>
      </w:tr>
      <w:tr>
        <w:trPr/>
        <w:tc>
          <w:tcPr>
            <w:tcW w:w="473"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Asset Purchase Agreement between Ocean Power Technologies, Inc. and Columbia Power Technologies, Inc. dated July 22, 2026 (incorporated by reference to Exhibit 10.1 to the Company’s Current Report on Form 8-K filed on July 23, 2026).</w:t>
              </w:r>
            </w:hyperlink>
          </w:p>
        </w:tc>
      </w:tr>
      <w:tr>
        <w:trPr/>
        <w:tc>
          <w:tcPr>
            <w:tcW w:w="473"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At The Market Offering Agreement, dated July 27, 2026, by and between Ocean Power Technologies, Inc. and H.C. Wainwright &amp; Co., LLC (incorporated by reference to Exhibit 10.1 to the Company’s Current Report on Form 8-K filed on July 27, 2026).</w:t>
              </w:r>
            </w:hyperlink>
          </w:p>
        </w:tc>
      </w:tr>
      <w:tr>
        <w:trPr/>
        <w:tc>
          <w:tcPr>
            <w:tcW w:w="473"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473"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473"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593"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pursuant to Section 906 of the Sarbanes-Oxley Act of 2002</w:t>
              </w:r>
            </w:hyperlink>
          </w:p>
        </w:tc>
      </w:tr>
      <w:tr>
        <w:trPr/>
        <w:tc>
          <w:tcPr>
            <w:tcW w:w="473"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593" w:type="dxa"/>
            <w:tcBorders/>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Chief Financial Officer pursuant to Section 906 of the Sarbanes-Oxley Act of 2002</w:t>
              </w:r>
            </w:hyperlink>
          </w:p>
        </w:tc>
      </w:tr>
      <w:tr>
        <w:trPr/>
        <w:tc>
          <w:tcPr>
            <w:tcW w:w="473" w:type="dxa"/>
            <w:tcBorders/>
            <w:vAlign w:val="center"/>
          </w:tcPr>
          <w:p>
            <w:pPr>
              <w:pStyle w:val="TableContents"/>
              <w:bidi w:val="0"/>
              <w:spacing w:before="0" w:after="283"/>
              <w:jc w:val="both"/>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financial information from Ocean Power Technologies, Inc.’s Quarterly Report on Form 10-Q for the quarter ended July 31, 2026, formatted in eXtensible Business Reporting Language (XBRL): (i) Consolidated Balance Sheets – July 31, 2026 (unaudited) and April 30, 2026, (ii) Consolidated Statements of Operations (unaudited) – three months ended July 31, 2026 and 2025, (iii) Consolidated Statements of Comprehensive Loss (unaudited) –three months ended July 31, 2026 and 2025, (iv) Consolidated Statement of Shareholders’ Equity (unaudited) –three months ended July 31, 2026 and 2025 (v) Consolidated Statements of Cash Flows (unaudited) –three months ended July 31, 2026 and 2025, (vi) Notes to Consolidated Financial Statements.**</w:t>
            </w:r>
          </w:p>
        </w:tc>
      </w:tr>
      <w:tr>
        <w:trPr/>
        <w:tc>
          <w:tcPr>
            <w:tcW w:w="473"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473"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473"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473"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473"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473"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473"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r>
        <w:trPr/>
        <w:tc>
          <w:tcPr>
            <w:tcW w:w="473"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3"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tc>
      </w:tr>
      <w:tr>
        <w:trPr/>
        <w:tc>
          <w:tcPr>
            <w:tcW w:w="473"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3"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tc>
      </w:tr>
      <w:tr>
        <w:trPr/>
        <w:tc>
          <w:tcPr>
            <w:tcW w:w="473"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95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3"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Regulation S-K, Item 601(b)(10)(iv) of the Securities Exchange Act of 1934, as amended, certain confidential portions of this exhibit have been redacted from the publicly filed document. The Company agrees to furnish supplementally an unredacted copy of the exhibit to the Securities and Exchange Commission upon its request.</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1745" w:type="dxa"/>
        <w:jc w:val="left"/>
        <w:tblInd w:w="0" w:type="dxa"/>
        <w:tblLayout w:type="fixed"/>
        <w:tblCellMar>
          <w:top w:w="0" w:type="dxa"/>
          <w:left w:w="0" w:type="dxa"/>
          <w:bottom w:w="0" w:type="dxa"/>
          <w:right w:w="0" w:type="dxa"/>
        </w:tblCellMar>
      </w:tblPr>
      <w:tblGrid>
        <w:gridCol w:w="1745"/>
      </w:tblGrid>
      <w:tr>
        <w:trPr/>
        <w:tc>
          <w:tcPr>
            <w:tcW w:w="1745" w:type="dxa"/>
            <w:tcBorders/>
            <w:vAlign w:val="center"/>
          </w:tcPr>
          <w:p>
            <w:pPr>
              <w:pStyle w:val="TableContents"/>
              <w:bidi w:val="0"/>
              <w:spacing w:before="0" w:after="283"/>
              <w:jc w:val="left"/>
              <w:rPr/>
            </w:pPr>
            <w:hyperlink w:anchor="toc_001">
              <w:r>
                <w:rPr>
                  <w:rStyle w:val="InternetLink"/>
                </w:rPr>
                <w:t>Table of Contents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71" w:name="a_019"/>
      <w:bookmarkEnd w:id="671"/>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6630" w:type="dxa"/>
        <w:jc w:val="left"/>
        <w:tblInd w:w="0" w:type="dxa"/>
        <w:tblLayout w:type="fixed"/>
        <w:tblCellMar>
          <w:top w:w="0" w:type="dxa"/>
          <w:left w:w="0" w:type="dxa"/>
          <w:bottom w:w="0" w:type="dxa"/>
          <w:right w:w="0" w:type="dxa"/>
        </w:tblCellMar>
      </w:tblPr>
      <w:tblGrid>
        <w:gridCol w:w="2135"/>
        <w:gridCol w:w="365"/>
        <w:gridCol w:w="4130"/>
      </w:tblGrid>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449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Ocean Power Technologies, Inc.</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449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4495" w:type="dxa"/>
            <w:gridSpan w:val="2"/>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14, 2026</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Tracy Pagliara</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Pagliara</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Acting President and Chief Executive Officer</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14, 2026</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Powers</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Powers</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Vice President and Chief Financial Officer</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caps w:val="false"/>
          <w:smallCaps w:val="false"/>
        </w:rPr>
      </w:pPr>
      <w:bookmarkStart w:id="672" w:name="ex31-1.htm"/>
      <w:bookmarkStart w:id="673" w:name="ksex311"/>
      <w:bookmarkEnd w:id="672"/>
      <w:bookmarkEnd w:id="67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SECTION 302 OF SARBANES-OXLEY ACT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Tracy Pagliara, certify that: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Ocean Power Technologies, Inc.;</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2135"/>
        <w:gridCol w:w="3710"/>
      </w:tblGrid>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14, 2026</w:t>
            </w:r>
          </w:p>
        </w:tc>
        <w:tc>
          <w:tcPr>
            <w:tcW w:w="371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37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Tracy Pagliara</w:t>
            </w:r>
          </w:p>
        </w:tc>
      </w:tr>
      <w:tr>
        <w:trPr/>
        <w:tc>
          <w:tcPr>
            <w:tcW w:w="213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Tracy Pagliara</w:t>
            </w:r>
          </w:p>
        </w:tc>
      </w:tr>
      <w:tr>
        <w:trPr/>
        <w:tc>
          <w:tcPr>
            <w:tcW w:w="213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Acting President and Chief Executive Officer</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bookmarkStart w:id="674" w:name="ex31-2.htm"/>
      <w:bookmarkStart w:id="675" w:name="ksex312"/>
      <w:bookmarkEnd w:id="674"/>
      <w:bookmarkEnd w:id="67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SECTION 302 OF SARBANES-OXLEY ACT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Robert Powers, certify that: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Ocean Power Technologies, Inc.;</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18" w:type="dxa"/>
            <w:tcBorders/>
            <w:vAlign w:val="center"/>
          </w:tcPr>
          <w:p>
            <w:pPr>
              <w:pStyle w:val="TableContents"/>
              <w:bidi w:val="0"/>
              <w:spacing w:before="0" w:after="283"/>
              <w:jc w:val="left"/>
              <w:rPr/>
            </w:pPr>
            <w:r>
              <w:rPr/>
              <w:t> </w:t>
            </w:r>
          </w:p>
        </w:tc>
        <w:tc>
          <w:tcPr>
            <w:tcW w:w="9987" w:type="dxa"/>
            <w:tcBorders/>
            <w:vAlign w:val="center"/>
          </w:tcPr>
          <w:p>
            <w:pPr>
              <w:pStyle w:val="TableContents"/>
              <w:bidi w:val="0"/>
              <w:spacing w:before="0" w:after="283"/>
              <w:jc w:val="both"/>
              <w:rPr/>
            </w:pPr>
            <w:r>
              <w:rPr/>
              <w:t> </w:t>
            </w:r>
          </w:p>
        </w:tc>
      </w:tr>
      <w:tr>
        <w:trPr/>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jc w:val="left"/>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2135"/>
        <w:gridCol w:w="4130"/>
      </w:tblGrid>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14, 2026</w:t>
            </w:r>
          </w:p>
        </w:tc>
        <w:tc>
          <w:tcPr>
            <w:tcW w:w="413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41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Robert Powers</w:t>
            </w:r>
          </w:p>
        </w:tc>
      </w:tr>
      <w:tr>
        <w:trPr/>
        <w:tc>
          <w:tcPr>
            <w:tcW w:w="2135"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Powers</w:t>
            </w:r>
          </w:p>
        </w:tc>
      </w:tr>
      <w:tr>
        <w:trPr/>
        <w:tc>
          <w:tcPr>
            <w:tcW w:w="2135"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Senior Vice President and Chief Financial Officer</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bookmarkStart w:id="676" w:name="ex32-1.htm"/>
      <w:bookmarkStart w:id="677" w:name="ksex321"/>
      <w:bookmarkEnd w:id="676"/>
      <w:bookmarkEnd w:id="677"/>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Ocean Power Technologies, Inc. (the “Company”) for the period ended July 31, 2026, as filed with the Securities and Exchange Commission on the date hereof (the “Report”), the undersigned, Tracy Pagliara, Acting President and Chief Executive Officer of the Company, hereby certifies, pursuant to 18 U.S.C. Section 1350, as adopted pursuant to Section 906 of the Sarbanes-Oxley Act of 2002, that, to the best of my knowledge: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r>
        <w:trPr/>
        <w:tc>
          <w:tcPr>
            <w:tcW w:w="249" w:type="dxa"/>
            <w:tcBorders/>
            <w:vAlign w:val="center"/>
          </w:tcPr>
          <w:p>
            <w:pPr>
              <w:pStyle w:val="TableContents"/>
              <w:bidi w:val="0"/>
              <w:spacing w:before="0" w:after="283"/>
              <w:jc w:val="left"/>
              <w:rPr/>
            </w:pPr>
            <w:r>
              <w:rPr/>
              <w:t> </w:t>
            </w:r>
          </w:p>
        </w:tc>
        <w:tc>
          <w:tcPr>
            <w:tcW w:w="9956" w:type="dxa"/>
            <w:tcBorders/>
            <w:vAlign w:val="center"/>
          </w:tcPr>
          <w:p>
            <w:pPr>
              <w:pStyle w:val="TableContents"/>
              <w:bidi w:val="0"/>
              <w:spacing w:before="0" w:after="283"/>
              <w:jc w:val="both"/>
              <w:rPr/>
            </w:pPr>
            <w:r>
              <w:rPr/>
              <w:t> </w:t>
            </w:r>
          </w:p>
        </w:tc>
      </w:tr>
      <w:tr>
        <w:trPr/>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jc w:val="center"/>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2135"/>
        <w:gridCol w:w="3710"/>
      </w:tblGrid>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14, 2026</w:t>
            </w:r>
          </w:p>
        </w:tc>
        <w:tc>
          <w:tcPr>
            <w:tcW w:w="371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37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Tracy Pagliara</w:t>
            </w:r>
          </w:p>
        </w:tc>
      </w:tr>
      <w:tr>
        <w:trPr/>
        <w:tc>
          <w:tcPr>
            <w:tcW w:w="213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Tracy Pagliara</w:t>
            </w:r>
          </w:p>
        </w:tc>
      </w:tr>
      <w:tr>
        <w:trPr/>
        <w:tc>
          <w:tcPr>
            <w:tcW w:w="2135"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Acting President and Chief Executive Officer</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bookmarkStart w:id="678" w:name="ex32-2.htm"/>
      <w:bookmarkStart w:id="679" w:name="ksex322"/>
      <w:bookmarkEnd w:id="678"/>
      <w:bookmarkEnd w:id="679"/>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Ocean Power Technologies, Inc. (the “Company”) for the period ended July 31, 2026, as filed with the Securities and Exchange Commission on the date hereof (the “Report”), the undersigned, Robert Powers, Senior Vice President and Chief Financial Officer of the Company, hereby certifies, pursuant to 18 U.S.C. Section 1350, as adopted pursuant to Section 906 of the Sarbanes-Oxley Act of 2002, that, to the best of my knowledge: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r>
        <w:trPr/>
        <w:tc>
          <w:tcPr>
            <w:tcW w:w="249" w:type="dxa"/>
            <w:tcBorders/>
            <w:vAlign w:val="center"/>
          </w:tcPr>
          <w:p>
            <w:pPr>
              <w:pStyle w:val="TableContents"/>
              <w:bidi w:val="0"/>
              <w:spacing w:before="0" w:after="283"/>
              <w:jc w:val="left"/>
              <w:rPr/>
            </w:pPr>
            <w:r>
              <w:rPr/>
              <w:t> </w:t>
            </w:r>
          </w:p>
        </w:tc>
        <w:tc>
          <w:tcPr>
            <w:tcW w:w="9956" w:type="dxa"/>
            <w:tcBorders/>
            <w:vAlign w:val="center"/>
          </w:tcPr>
          <w:p>
            <w:pPr>
              <w:pStyle w:val="TableContents"/>
              <w:bidi w:val="0"/>
              <w:spacing w:before="0" w:after="283"/>
              <w:jc w:val="both"/>
              <w:rPr/>
            </w:pPr>
            <w:r>
              <w:rPr/>
              <w:t> </w:t>
            </w:r>
          </w:p>
        </w:tc>
      </w:tr>
      <w:tr>
        <w:trPr/>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jc w:val="left"/>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2135"/>
        <w:gridCol w:w="4130"/>
      </w:tblGrid>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14, 2026</w:t>
            </w:r>
          </w:p>
        </w:tc>
        <w:tc>
          <w:tcPr>
            <w:tcW w:w="413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41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Robert Powers</w:t>
            </w:r>
          </w:p>
        </w:tc>
      </w:tr>
      <w:tr>
        <w:trPr/>
        <w:tc>
          <w:tcPr>
            <w:tcW w:w="2135"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Powers</w:t>
            </w:r>
          </w:p>
        </w:tc>
      </w:tr>
      <w:tr>
        <w:trPr/>
        <w:tc>
          <w:tcPr>
            <w:tcW w:w="2135"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Senior Vice President and Chief Financial Officer</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78140/000149315226030434/ex3-1.htm" TargetMode="External"/><Relationship Id="rId3" Type="http://schemas.openxmlformats.org/officeDocument/2006/relationships/hyperlink" Target="https://www.sec.gov/Archives/edgar/data/1378140/000149315226042282/ex3-1.htm" TargetMode="External"/><Relationship Id="rId4" Type="http://schemas.openxmlformats.org/officeDocument/2006/relationships/hyperlink" Target="https://www.sec.gov/Archives/edgar/data/1378140/000149315226027653/ex4-1.htm" TargetMode="External"/><Relationship Id="rId5" Type="http://schemas.openxmlformats.org/officeDocument/2006/relationships/hyperlink" Target="https://www.sec.gov/Archives/edgar/data/1378140/000149315226030434/ex4-1.htm" TargetMode="External"/><Relationship Id="rId6" Type="http://schemas.openxmlformats.org/officeDocument/2006/relationships/hyperlink" Target="https://www.sec.gov/Archives/edgar/data/1378140/000149315226027653/ex10-1.htm" TargetMode="External"/><Relationship Id="rId7" Type="http://schemas.openxmlformats.org/officeDocument/2006/relationships/hyperlink" Target="https://www.sec.gov/Archives/edgar/data/1378140/000149315226034425/ex10-1.htm" TargetMode="External"/><Relationship Id="rId8" Type="http://schemas.openxmlformats.org/officeDocument/2006/relationships/hyperlink" Target="https://www.sec.gov/Archives/edgar/data/1378140/000149315226034862/ex10-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23988</Words>
  <Characters>133485</Characters>
  <CharactersWithSpaces>158398</CharactersWithSpaces>
  <Paragraphs>4875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