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caps w:val="false"/>
          <w:smallCaps w:val="false"/>
        </w:rPr>
      </w:pPr>
      <w:bookmarkStart w:id="0" w:name="form424b5.htm"/>
      <w:bookmarkStart w:id="1" w:name="ksform424b5"/>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333-298559</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366,162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(which term as used in this prospectus includes their respective partners, pledgees, donees (including charitable organizations), transferees or other successors-in-interest) may offer this common stock from time to time through public or private transactions at prevailing market prices, at prices related to prevailing market prices or at privately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registered under the registration statement of which this prospectus forms a part include 366,162 shares issued as consideration in an acquisition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will incur expenses in connection with the registration of the securities, we will not receive any of the proceeds from the sale of the shares of common stock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NYSE American under the symbol “OPTT.” The last reported sale price of our common stock on September 22, 2026 was $2.12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significant risks that are described in the “Risk Factors” section beginning on page 4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October 14,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center"/>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245"/>
        <w:gridCol w:w="42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ns_001">
              <w:r>
                <w:rPr>
                  <w:rStyle w:val="InternetLink"/>
                  <w:rFonts w:ascii="Times New Roman;Times;Serif" w:hAnsi="Times New Roman;Times;Serif"/>
                  <w:b w:val="false"/>
                  <w:i w:val="false"/>
                  <w:caps/>
                  <w:sz w:val="20"/>
                </w:rPr>
                <w:t>ABOUT THIS PROSPECTUS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ns_002">
              <w:r>
                <w:rPr>
                  <w:rStyle w:val="InternetLink"/>
                  <w:rFonts w:ascii="Times New Roman;Times;Serif" w:hAnsi="Times New Roman;Times;Serif"/>
                  <w:b w:val="false"/>
                  <w:i w:val="false"/>
                  <w:caps/>
                  <w:sz w:val="20"/>
                </w:rPr>
                <w:t>ocean power technologies, Inc.</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w:t>
            </w:r>
          </w:p>
        </w:tc>
      </w:tr>
      <w:tr>
        <w:trPr/>
        <w:tc>
          <w:tcPr>
            <w:tcW w:w="6245" w:type="dxa"/>
            <w:tcBorders/>
            <w:shd w:fill="CCEEFF" w:val="clear"/>
            <w:vAlign w:val="center"/>
          </w:tcPr>
          <w:p>
            <w:pPr>
              <w:pStyle w:val="TableContents"/>
              <w:bidi w:val="0"/>
              <w:spacing w:before="0" w:after="283"/>
              <w:jc w:val="left"/>
              <w:rPr/>
            </w:pPr>
            <w:hyperlink w:anchor="ns_003">
              <w:r>
                <w:rPr>
                  <w:rStyle w:val="InternetLink"/>
                  <w:rFonts w:ascii="Times New Roman;Times;Serif" w:hAnsi="Times New Roman;Times;Serif"/>
                  <w:b w:val="false"/>
                  <w:i w:val="false"/>
                  <w:caps/>
                  <w:sz w:val="20"/>
                </w:rPr>
                <w:t>CAUTIONARY NOTE REGARDING FORWARD-LOOKING STATEMENTS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2</w:t>
            </w:r>
          </w:p>
        </w:tc>
      </w:tr>
      <w:tr>
        <w:trPr/>
        <w:tc>
          <w:tcPr>
            <w:tcW w:w="6245" w:type="dxa"/>
            <w:tcBorders/>
            <w:shd w:fill="FFFFFF" w:val="clear"/>
            <w:vAlign w:val="center"/>
          </w:tcPr>
          <w:p>
            <w:pPr>
              <w:pStyle w:val="TableContents"/>
              <w:bidi w:val="0"/>
              <w:spacing w:before="0" w:after="283"/>
              <w:jc w:val="left"/>
              <w:rPr/>
            </w:pPr>
            <w:hyperlink w:anchor="ns_004">
              <w:r>
                <w:rPr>
                  <w:rStyle w:val="InternetLink"/>
                  <w:rFonts w:ascii="Times New Roman;Times;Serif" w:hAnsi="Times New Roman;Times;Serif"/>
                  <w:b w:val="false"/>
                  <w:i w:val="false"/>
                  <w:caps/>
                  <w:sz w:val="20"/>
                </w:rPr>
                <w:t>WHERE YOU CAN FIND MORE INFORMATION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CCEEFF" w:val="clear"/>
            <w:vAlign w:val="center"/>
          </w:tcPr>
          <w:p>
            <w:pPr>
              <w:pStyle w:val="TableContents"/>
              <w:bidi w:val="0"/>
              <w:spacing w:before="0" w:after="283"/>
              <w:jc w:val="left"/>
              <w:rPr/>
            </w:pPr>
            <w:hyperlink w:anchor="ns_005">
              <w:r>
                <w:rPr>
                  <w:rStyle w:val="InternetLink"/>
                  <w:rFonts w:ascii="Times New Roman;Times;Serif" w:hAnsi="Times New Roman;Times;Serif"/>
                  <w:b w:val="false"/>
                  <w:i w:val="false"/>
                  <w:caps/>
                  <w:sz w:val="20"/>
                </w:rPr>
                <w:t>INCORPORATION OF CERTAIN DOCUMENTS BY REFERENCE</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3</w:t>
            </w:r>
          </w:p>
        </w:tc>
      </w:tr>
      <w:tr>
        <w:trPr/>
        <w:tc>
          <w:tcPr>
            <w:tcW w:w="6245" w:type="dxa"/>
            <w:tcBorders/>
            <w:shd w:fill="FFFFFF" w:val="clear"/>
            <w:vAlign w:val="center"/>
          </w:tcPr>
          <w:p>
            <w:pPr>
              <w:pStyle w:val="TableContents"/>
              <w:bidi w:val="0"/>
              <w:spacing w:before="0" w:after="283"/>
              <w:jc w:val="left"/>
              <w:rPr/>
            </w:pPr>
            <w:hyperlink w:anchor="ns_006">
              <w:r>
                <w:rPr>
                  <w:rStyle w:val="InternetLink"/>
                  <w:rFonts w:ascii="Times New Roman;Times;Serif" w:hAnsi="Times New Roman;Times;Serif"/>
                  <w:b w:val="false"/>
                  <w:i w:val="false"/>
                  <w:caps/>
                  <w:sz w:val="20"/>
                </w:rPr>
                <w:t>RISK FACTORS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4</w:t>
            </w:r>
          </w:p>
        </w:tc>
      </w:tr>
      <w:tr>
        <w:trPr/>
        <w:tc>
          <w:tcPr>
            <w:tcW w:w="6245" w:type="dxa"/>
            <w:tcBorders/>
            <w:shd w:fill="CCEEFF" w:val="clear"/>
            <w:vAlign w:val="center"/>
          </w:tcPr>
          <w:p>
            <w:pPr>
              <w:pStyle w:val="TableContents"/>
              <w:bidi w:val="0"/>
              <w:spacing w:before="0" w:after="283"/>
              <w:jc w:val="left"/>
              <w:rPr/>
            </w:pPr>
            <w:hyperlink w:anchor="ns_007">
              <w:r>
                <w:rPr>
                  <w:rStyle w:val="InternetLink"/>
                  <w:rFonts w:ascii="Times New Roman;Times;Serif" w:hAnsi="Times New Roman;Times;Serif"/>
                  <w:b w:val="false"/>
                  <w:i w:val="false"/>
                  <w:caps/>
                  <w:sz w:val="20"/>
                </w:rPr>
                <w:t>USE OF PROCEEDS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5</w:t>
            </w:r>
          </w:p>
        </w:tc>
      </w:tr>
      <w:tr>
        <w:trPr/>
        <w:tc>
          <w:tcPr>
            <w:tcW w:w="6245" w:type="dxa"/>
            <w:tcBorders/>
            <w:shd w:fill="FFFFFF" w:val="clear"/>
            <w:vAlign w:val="center"/>
          </w:tcPr>
          <w:p>
            <w:pPr>
              <w:pStyle w:val="TableContents"/>
              <w:bidi w:val="0"/>
              <w:spacing w:before="0" w:after="283"/>
              <w:jc w:val="left"/>
              <w:rPr/>
            </w:pPr>
            <w:hyperlink w:anchor="ns_008">
              <w:r>
                <w:rPr>
                  <w:rStyle w:val="InternetLink"/>
                  <w:rFonts w:ascii="Times New Roman;Times;Serif" w:hAnsi="Times New Roman;Times;Serif"/>
                  <w:b w:val="false"/>
                  <w:i w:val="false"/>
                  <w:caps/>
                  <w:sz w:val="20"/>
                </w:rPr>
                <w:t>DESCRIPTION OF CAPITAL STOCK</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6</w:t>
            </w:r>
          </w:p>
        </w:tc>
      </w:tr>
      <w:tr>
        <w:trPr/>
        <w:tc>
          <w:tcPr>
            <w:tcW w:w="6245" w:type="dxa"/>
            <w:tcBorders/>
            <w:shd w:fill="CCEEFF" w:val="clear"/>
            <w:vAlign w:val="center"/>
          </w:tcPr>
          <w:p>
            <w:pPr>
              <w:pStyle w:val="TableContents"/>
              <w:bidi w:val="0"/>
              <w:spacing w:before="0" w:after="283"/>
              <w:jc w:val="left"/>
              <w:rPr/>
            </w:pPr>
            <w:hyperlink w:anchor="ns_009">
              <w:r>
                <w:rPr>
                  <w:rStyle w:val="InternetLink"/>
                  <w:rFonts w:ascii="Times New Roman;Times;Serif" w:hAnsi="Times New Roman;Times;Serif"/>
                  <w:b w:val="false"/>
                  <w:i w:val="false"/>
                  <w:caps/>
                  <w:sz w:val="20"/>
                </w:rPr>
                <w:t>SELLING STOCKHOLDERS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FFFFFF" w:val="clear"/>
            <w:vAlign w:val="center"/>
          </w:tcPr>
          <w:p>
            <w:pPr>
              <w:pStyle w:val="TableContents"/>
              <w:bidi w:val="0"/>
              <w:spacing w:before="0" w:after="283"/>
              <w:jc w:val="left"/>
              <w:rPr/>
            </w:pPr>
            <w:hyperlink w:anchor="ns_010">
              <w:r>
                <w:rPr>
                  <w:rStyle w:val="InternetLink"/>
                  <w:rFonts w:ascii="Times New Roman;Times;Serif" w:hAnsi="Times New Roman;Times;Serif"/>
                  <w:b w:val="false"/>
                  <w:i w:val="false"/>
                  <w:caps/>
                  <w:sz w:val="20"/>
                </w:rPr>
                <w:t>PLAN OF DISTRIBUTION</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6245" w:type="dxa"/>
            <w:tcBorders/>
            <w:shd w:fill="CCEEFF" w:val="clear"/>
            <w:vAlign w:val="center"/>
          </w:tcPr>
          <w:p>
            <w:pPr>
              <w:pStyle w:val="TableContents"/>
              <w:bidi w:val="0"/>
              <w:spacing w:before="0" w:after="283"/>
              <w:jc w:val="left"/>
              <w:rPr/>
            </w:pPr>
            <w:hyperlink w:anchor="ns_011">
              <w:r>
                <w:rPr>
                  <w:rStyle w:val="InternetLink"/>
                  <w:rFonts w:ascii="Times New Roman;Times;Serif" w:hAnsi="Times New Roman;Times;Serif"/>
                  <w:b w:val="false"/>
                  <w:i w:val="false"/>
                  <w:caps/>
                  <w:sz w:val="20"/>
                </w:rPr>
                <w:t>LEGAL MATTERS</w:t>
              </w:r>
            </w:hyperlink>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r>
        <w:trPr/>
        <w:tc>
          <w:tcPr>
            <w:tcW w:w="6245" w:type="dxa"/>
            <w:tcBorders/>
            <w:shd w:fill="FFFFFF" w:val="clear"/>
            <w:vAlign w:val="center"/>
          </w:tcPr>
          <w:p>
            <w:pPr>
              <w:pStyle w:val="TableContents"/>
              <w:bidi w:val="0"/>
              <w:spacing w:before="0" w:after="283"/>
              <w:jc w:val="left"/>
              <w:rPr/>
            </w:pPr>
            <w:hyperlink w:anchor="ns_012">
              <w:r>
                <w:rPr>
                  <w:rStyle w:val="InternetLink"/>
                  <w:rFonts w:ascii="Times New Roman;Times;Serif" w:hAnsi="Times New Roman;Times;Serif"/>
                  <w:b w:val="false"/>
                  <w:i w:val="false"/>
                  <w:caps/>
                  <w:sz w:val="20"/>
                </w:rPr>
                <w:t>EXPERTS</w:t>
              </w:r>
            </w:hyperlink>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sz w:val="20"/>
              </w:rPr>
            </w:pPr>
            <w:r>
              <w:rPr>
                <w:rFonts w:ascii="Times New Roman;Times;Serif" w:hAnsi="Times New Roman;Times;Serif"/>
                <w:b w:val="false"/>
                <w:i w:val="false"/>
                <w:caps/>
                <w:sz w:val="20"/>
              </w:rPr>
              <w:t>13</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ns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Commission. Under this registration statement, the selling stockholders named in this prospectus or any supplement to this prospectus may sell from time to time the securities described in this prospectus in one or more offerings. This prospectus provides you with a general description of the securities the selling stockholders may offer. To the extent appropriate, we may provide a prospectus supplement that contains specific information about the terms of the offering. A prospectus supplement may also add, update or change information contained in this prospectus. Any statement that we make in this prospectus will be modified or superseded by any inconsistent statement made by us in a prospectus supplement. You should read both this prospectus and any prospectus supplement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prospectus supplement. We have not authorized anyone to provide you with additional or different information. The selling stockholders are offering to sell, and seeking offers to buy, shares of common stock only in jurisdictions where offers and sales are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are subject to a number of risks and uncertainties, many of which are beyond our control. Please read “Risk Factors” and “Cautionary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ns_002"/>
      <w:bookmarkEnd w:id="3"/>
      <w:r>
        <w:rPr>
          <w:rFonts w:ascii="Times New Roman;Times;Serif" w:hAnsi="Times New Roman;Times;Serif"/>
          <w:b/>
          <w:i w:val="false"/>
          <w:caps/>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“we,” “our,” “us,” “Company” or similar terms refer collectively to Ocean Power Technologies, Inc., and not the subsidiaries of Ocean Power Technologies,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we maintain an office at the Association for Uncrewed Vehicle Systems International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we entered into an asset purchase agreement with Columbia Power Technologies, Inc. (the “Seller”) pursuant to which we acquired from the Seller certain of its assets. In consideration for the purchase, we issued 366,162 shares of our common stock to the Seller. Pursuant to registration rights that we granted under such asset purchase agreement, we filed the registration statement of which this prospectus is a part to register the resale of the 366,162 shares of our common stock that we issued to the Seller, though a portion of such shares are subject to restrictions on trading for a period of time after the closing of the acquisition in accordance with the terms of the asset purchase agreement. As such, the Seller is the selling stockholder under this prospectus.</w:t>
      </w:r>
    </w:p>
    <w:p>
      <w:pPr>
        <w:pStyle w:val="TextBody"/>
        <w:bidi w:val="0"/>
        <w:spacing w:before="0" w:after="0"/>
        <w:ind w:left="0" w:right="0" w:firstLine="12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intellectual property and engineering portfolio complements our existing capabilities in offshore power, autonomous surface vehicles, maritime sensing, communications and AI-enabled software while adding an innovative subsea power capability designed to enable persistent underwater operations. Together, these technologies create a potentially more comprehensive operational infrastructure platform capable of supporting missions across the maritime domain. The acquisition also potentially expands our ability to address evolving requirements for persistent underwater operations, including resident autonomous systems, subsea sensing, distributed communications, underwater vehicle support and long-duration maritime missions. The acquired capability positions us to enhance our portfolio of operational infrastructure technologies and provides a foundation for supporting future customer requirements in both defense and commercial maritime markets. In addition to expanding our technology portfolio, the acquisition includes developmental work and early customer engagement that can accelerate commercialization, reduce development risk and shorten our path to market for future subsea solutions.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we effected a 1-for-30 reverse split of our outstanding shares of common stock. No fractional shares were issued in connection with the reverse stock split and all such fractional interests were rounded up to the nearest whole number of shares of common stock. All information presented in this prospectus has been retrospectively restated to give effect to our 1-for-30 reverse split of our outstanding shares of common stock, and unless otherwise indicated, all such amounts and corresponding conversion price and/or exercise price data set forth in this prospectus have been adjusted to give effect to such reverse stock split.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ns_003"/>
      <w:bookmarkEnd w:id="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due to constrained liquidity in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the Iran War and previous attacks on merchant ships in the Red Sea;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recurring operating losses, negative cash flows, limited liquidity and unwaived event of default under our convertible notes raise substantial doubt about our ability to continue as a going concern.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and in the documents that we include in or incorporate by reference into this prospectus, including our Annual Report on Form 10-K for the fiscal year ended April 30, 2026 and our subsequent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ns_004"/>
      <w:bookmarkEnd w:id="5"/>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forms a part of a registration statement on Form S-1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Times;Serif" w:hAnsi="Times New Roman;Times;Serif"/>
          <w:b w:val="false"/>
          <w:i/>
          <w:caps w:val="false"/>
          <w:smallCaps w:val="false"/>
          <w:sz w:val="20"/>
        </w:rPr>
        <w:t xml:space="preserve">www.sec.gov </w:t>
      </w:r>
      <w:r>
        <w:rPr>
          <w:rFonts w:ascii="Times New Roman;Times;Serif" w:hAnsi="Times New Roman;Times;Serif"/>
          <w:b w:val="false"/>
          <w:i w:val="false"/>
          <w:caps w:val="false"/>
          <w:smallCaps w:val="false"/>
          <w:sz w:val="20"/>
        </w:rPr>
        <w:t xml:space="preserve">that contains reports, proxy and information statements, and other information regarding companies that file electronically with the SEC. We maintain a website on the Internet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xml:space="preserve"> Our registration statement, of which this prospectus constitutes a part, can be downloaded from the SEC’s website or from our website at </w:t>
      </w:r>
      <w:r>
        <w:rPr>
          <w:rFonts w:ascii="Times New Roman;Times;Serif" w:hAnsi="Times New Roman;Times;Serif"/>
          <w:b w:val="false"/>
          <w:i/>
          <w:caps w:val="false"/>
          <w:smallCaps w:val="false"/>
          <w:sz w:val="20"/>
        </w:rPr>
        <w:t>www.oceanpowertechnologies.com</w:t>
      </w:r>
      <w:r>
        <w:rPr>
          <w:rFonts w:ascii="Times New Roman;Times;Serif" w:hAnsi="Times New Roman;Times;Serif"/>
          <w:b w:val="false"/>
          <w:i w:val="false"/>
          <w:caps w:val="false"/>
          <w:smallCaps w:val="false"/>
          <w:sz w:val="20"/>
        </w:rPr>
        <w:t>. Information on the SEC website, our website or any other website is not incorporated by reference in this prospectus and does not constitute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ns_005"/>
      <w:bookmarkEnd w:id="6"/>
      <w:r>
        <w:rPr>
          <w:rFonts w:ascii="Times New Roman;Times;Serif" w:hAnsi="Times New Roman;Times;Serif"/>
          <w:b/>
          <w:i w:val="false"/>
          <w:caps/>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us with the SEC under the Exchange Act, are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April 30, 2026, filed with the SEC on August 19, 2026 (File No. 001-33417);</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fiscal year ended July 31, 2026, filed with the SEC on September 14, 2026 (File No. 001-33417);</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our Current Reports on Form 8-K and Form 8-K/A, filed with the SEC on </w:t>
      </w:r>
      <w:hyperlink r:id="rId5">
        <w:r>
          <w:rPr>
            <w:rStyle w:val="InternetLink"/>
            <w:rFonts w:ascii="Times New Roman;Times;Serif" w:hAnsi="Times New Roman;Times;Serif"/>
            <w:b w:val="false"/>
            <w:i w:val="false"/>
            <w:caps w:val="false"/>
            <w:smallCaps w:val="false"/>
            <w:sz w:val="20"/>
          </w:rPr>
          <w:t>July 25,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August 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August 8,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August 19,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27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September 3,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September 16,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October 7, 2025</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November 6, 2025</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November 12,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December 16,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January 6,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January 9,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January 28,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February 24,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March 13,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March 26,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April 1, 2026</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May 12, 2026</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27">
        <w:r>
          <w:rPr>
            <w:rStyle w:val="InternetLink"/>
            <w:rFonts w:ascii="Times New Roman;Times;Serif" w:hAnsi="Times New Roman;Times;Serif"/>
            <w:b w:val="false"/>
            <w:i w:val="false"/>
            <w:caps w:val="false"/>
            <w:smallCaps w:val="false"/>
            <w:sz w:val="20"/>
          </w:rPr>
          <w:t>June 9, 2026</w:t>
        </w:r>
      </w:hyperlink>
      <w:r>
        <w:rPr>
          <w:rFonts w:ascii="Times New Roman;Times;Serif" w:hAnsi="Times New Roman;Times;Serif"/>
          <w:b w:val="false"/>
          <w:i w:val="false"/>
          <w:caps w:val="false"/>
          <w:smallCaps w:val="false"/>
          <w:sz w:val="20"/>
        </w:rPr>
        <w:t xml:space="preserve">, </w:t>
      </w:r>
      <w:hyperlink r:id="rId28">
        <w:r>
          <w:rPr>
            <w:rStyle w:val="InternetLink"/>
            <w:rFonts w:ascii="Times New Roman;Times;Serif" w:hAnsi="Times New Roman;Times;Serif"/>
            <w:b w:val="false"/>
            <w:i w:val="false"/>
            <w:caps w:val="false"/>
            <w:smallCaps w:val="false"/>
            <w:sz w:val="20"/>
          </w:rPr>
          <w:t>June 29, 2026</w:t>
        </w:r>
      </w:hyperlink>
      <w:r>
        <w:rPr>
          <w:rFonts w:ascii="Times New Roman;Times;Serif" w:hAnsi="Times New Roman;Times;Serif"/>
          <w:b w:val="false"/>
          <w:i w:val="false"/>
          <w:caps w:val="false"/>
          <w:smallCaps w:val="false"/>
          <w:sz w:val="20"/>
        </w:rPr>
        <w:t xml:space="preserve">, </w:t>
      </w:r>
      <w:hyperlink r:id="rId29">
        <w:r>
          <w:rPr>
            <w:rStyle w:val="InternetLink"/>
            <w:rFonts w:ascii="Times New Roman;Times;Serif" w:hAnsi="Times New Roman;Times;Serif"/>
            <w:b w:val="false"/>
            <w:i w:val="false"/>
            <w:caps w:val="false"/>
            <w:smallCaps w:val="false"/>
            <w:sz w:val="20"/>
          </w:rPr>
          <w:t>July 23, 2026</w:t>
        </w:r>
      </w:hyperlink>
      <w:r>
        <w:rPr>
          <w:rFonts w:ascii="Times New Roman;Times;Serif" w:hAnsi="Times New Roman;Times;Serif"/>
          <w:b w:val="false"/>
          <w:i w:val="false"/>
          <w:caps w:val="false"/>
          <w:smallCaps w:val="false"/>
          <w:sz w:val="20"/>
        </w:rPr>
        <w:t xml:space="preserve">, </w:t>
      </w:r>
      <w:hyperlink r:id="rId30">
        <w:r>
          <w:rPr>
            <w:rStyle w:val="InternetLink"/>
            <w:rFonts w:ascii="Times New Roman;Times;Serif" w:hAnsi="Times New Roman;Times;Serif"/>
            <w:b w:val="false"/>
            <w:i w:val="false"/>
            <w:caps w:val="false"/>
            <w:smallCaps w:val="false"/>
            <w:sz w:val="20"/>
          </w:rPr>
          <w:t>July 27, 2026</w:t>
        </w:r>
      </w:hyperlink>
      <w:r>
        <w:rPr>
          <w:rFonts w:ascii="Times New Roman;Times;Serif" w:hAnsi="Times New Roman;Times;Serif"/>
          <w:b w:val="false"/>
          <w:i w:val="false"/>
          <w:caps w:val="false"/>
          <w:smallCaps w:val="false"/>
          <w:sz w:val="20"/>
        </w:rPr>
        <w:t xml:space="preserve">, </w:t>
      </w:r>
      <w:hyperlink r:id="rId31">
        <w:r>
          <w:rPr>
            <w:rStyle w:val="InternetLink"/>
            <w:rFonts w:ascii="Times New Roman;Times;Serif" w:hAnsi="Times New Roman;Times;Serif"/>
            <w:b w:val="false"/>
            <w:i w:val="false"/>
            <w:caps w:val="false"/>
            <w:smallCaps w:val="false"/>
            <w:sz w:val="20"/>
          </w:rPr>
          <w:t>August 5, 2026</w:t>
        </w:r>
      </w:hyperlink>
      <w:r>
        <w:rPr>
          <w:rFonts w:ascii="Times New Roman;Times;Serif" w:hAnsi="Times New Roman;Times;Serif"/>
          <w:b w:val="false"/>
          <w:i w:val="false"/>
          <w:caps w:val="false"/>
          <w:smallCaps w:val="false"/>
          <w:sz w:val="20"/>
        </w:rPr>
        <w:t xml:space="preserve">, </w:t>
      </w:r>
      <w:hyperlink r:id="rId32">
        <w:r>
          <w:rPr>
            <w:rStyle w:val="InternetLink"/>
            <w:rFonts w:ascii="Times New Roman;Times;Serif" w:hAnsi="Times New Roman;Times;Serif"/>
            <w:b w:val="false"/>
            <w:i w:val="false"/>
            <w:caps w:val="false"/>
            <w:smallCaps w:val="false"/>
            <w:sz w:val="20"/>
          </w:rPr>
          <w:t>August 17, 2026</w:t>
        </w:r>
      </w:hyperlink>
      <w:r>
        <w:rPr>
          <w:rFonts w:ascii="Times New Roman;Times;Serif" w:hAnsi="Times New Roman;Times;Serif"/>
          <w:b w:val="false"/>
          <w:i w:val="false"/>
          <w:caps w:val="false"/>
          <w:smallCaps w:val="false"/>
          <w:sz w:val="20"/>
        </w:rPr>
        <w:t xml:space="preserve">, </w:t>
      </w:r>
      <w:hyperlink r:id="rId33">
        <w:r>
          <w:rPr>
            <w:rStyle w:val="InternetLink"/>
            <w:rFonts w:ascii="Times New Roman;Times;Serif" w:hAnsi="Times New Roman;Times;Serif"/>
            <w:b w:val="false"/>
            <w:i w:val="false"/>
            <w:caps w:val="false"/>
            <w:smallCaps w:val="false"/>
            <w:sz w:val="20"/>
          </w:rPr>
          <w:t>August 20, 2026,</w:t>
        </w:r>
      </w:hyperlink>
      <w:r>
        <w:rPr>
          <w:rFonts w:ascii="Times New Roman;Times;Serif" w:hAnsi="Times New Roman;Times;Serif"/>
          <w:b w:val="false"/>
          <w:i w:val="false"/>
          <w:caps w:val="false"/>
          <w:smallCaps w:val="false"/>
          <w:sz w:val="20"/>
        </w:rPr>
        <w:t xml:space="preserve"> </w:t>
      </w:r>
      <w:hyperlink r:id="rId34">
        <w:r>
          <w:rPr>
            <w:rStyle w:val="InternetLink"/>
            <w:rFonts w:ascii="Times New Roman;Times;Serif" w:hAnsi="Times New Roman;Times;Serif"/>
            <w:b w:val="false"/>
            <w:i w:val="false"/>
            <w:caps w:val="false"/>
            <w:smallCaps w:val="false"/>
            <w:sz w:val="20"/>
          </w:rPr>
          <w:t>August 24, 2026</w:t>
        </w:r>
      </w:hyperlink>
      <w:r>
        <w:rPr>
          <w:rFonts w:ascii="Times New Roman;Times;Serif" w:hAnsi="Times New Roman;Times;Serif"/>
          <w:b w:val="false"/>
          <w:i w:val="false"/>
          <w:caps w:val="false"/>
          <w:smallCaps w:val="false"/>
          <w:sz w:val="20"/>
        </w:rPr>
        <w:t xml:space="preserve">, </w:t>
      </w:r>
      <w:hyperlink r:id="rId35">
        <w:r>
          <w:rPr>
            <w:rStyle w:val="InternetLink"/>
            <w:rFonts w:ascii="Times New Roman;Times;Serif" w:hAnsi="Times New Roman;Times;Serif"/>
            <w:b w:val="false"/>
            <w:i w:val="false"/>
            <w:caps w:val="false"/>
            <w:smallCaps w:val="false"/>
            <w:sz w:val="20"/>
          </w:rPr>
          <w:t>September 11, 2026</w:t>
        </w:r>
      </w:hyperlink>
      <w:r>
        <w:rPr>
          <w:rFonts w:ascii="Times New Roman;Times;Serif" w:hAnsi="Times New Roman;Times;Serif"/>
          <w:b w:val="false"/>
          <w:i w:val="false"/>
          <w:caps w:val="false"/>
          <w:smallCaps w:val="false"/>
          <w:sz w:val="20"/>
        </w:rPr>
        <w:t xml:space="preserve">, and </w:t>
      </w:r>
      <w:hyperlink r:id="rId36">
        <w:r>
          <w:rPr>
            <w:rStyle w:val="InternetLink"/>
            <w:rFonts w:ascii="Times New Roman;Times;Serif" w:hAnsi="Times New Roman;Times;Serif"/>
            <w:b w:val="false"/>
            <w:i w:val="false"/>
            <w:caps w:val="false"/>
            <w:smallCaps w:val="false"/>
            <w:sz w:val="20"/>
          </w:rPr>
          <w:t>September 17, 2026</w:t>
        </w:r>
      </w:hyperlink>
      <w:r>
        <w:rPr>
          <w:rFonts w:ascii="Times New Roman;Times;Serif" w:hAnsi="Times New Roman;Times;Serif"/>
          <w:b w:val="false"/>
          <w:i w:val="false"/>
          <w:caps w:val="false"/>
          <w:smallCaps w:val="false"/>
          <w:sz w:val="20"/>
        </w:rPr>
        <w:t xml:space="preserve"> (File No. 001-33417) (excluding any information furnished pursuant to Item 2.02 or Item 7.01 of any such Current Report on Form 8-K);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firstLine="360"/>
        <w:jc w:val="both"/>
        <w:rPr/>
      </w:pPr>
      <w:r>
        <w:rPr>
          <w:caps w:val="false"/>
          <w:smallCaps w:val="false"/>
        </w:rPr>
        <w:t xml:space="preserve">● </w:t>
      </w:r>
      <w:r>
        <w:rPr>
          <w:rFonts w:ascii="Times New Roman;Times;Serif" w:hAnsi="Times New Roman;Times;Serif"/>
          <w:b w:val="false"/>
          <w:i w:val="false"/>
          <w:caps w:val="false"/>
          <w:smallCaps w:val="false"/>
          <w:sz w:val="20"/>
        </w:rPr>
        <w:t xml:space="preserve">the description of our common stock set forth in our registration statement on </w:t>
      </w:r>
      <w:hyperlink r:id="rId37">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on April 18, 2007 (File No. 001-33417) and in any and all subsequent amendments and reports filed for the purpose of updating that description.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these filings, other than any exhibits, unless the exhibits are specifically incorporated by reference into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 730-0400</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ns_006"/>
      <w:bookmarkEnd w:id="7"/>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 factors and all of the other information included in, or incorporated by reference into, this prospectus, including those risk factors included in our Annual Report on Form 10-K for the year ended April 30, 2026 and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ns_007"/>
      <w:bookmarkEnd w:id="8"/>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our shares of common stock by the selling stockholders. The selling stockholders named in this prospectus will pay any underwriting fees, discounts and commissions, along with certain of the selling stockholders’ out-of-pocket expenses, incurred in connection with their sale of shares registered under this prospectus. We will bear all other costs, fees and expenses incurred by us, or by the selling stockholders, in effecting the registration, offer and sale of the shares covered by this prospectus.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ns_008"/>
      <w:bookmarkEnd w:id="9"/>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400,000,000 shares of common stock, par value $0.001 per share, and 5,000,000 shares of preferred stock, par value $0.001 per share, 700,000 of which are designated as Series A Participating Preferred Stock which may be issued upon the exercise of the preferred stock purchase rights described below under “Section 382 Tax Benefits Preservation Plan”. As discussed below, we issued on July 11, 2023 preferred stock purchase rights which are attached to our common stock in connection with our adoption of an Amended and Restated Section 382 Tax Benefits Preservation Plan as described under Section 382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22, 2026, there were 9,094,159 shares of common stock outstanding, and no shares of preferred stock were issued or outstanding. As of September 22, 2026, there also were outstanding (i) options representing the right to purchase a total of 12,958 shares of common stock at a weighted average exercise price of approximately $52.80 per share, (ii) unvested restricted and performance stock units representing the right to acquire a total of 719,060 shares of common stock, and (iii) 833,334 shares of common stock issuable upon exercise of certain 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subject to any preferential dividend rights of outstanding preferred stock.</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Effects of Delaware Law, Our Certificate of Incorporation and Our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Removal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 Action by Written Consent; Special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Advance Notice Requirements for Stockholder Proposals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Delaware Business Combination Statute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the adoption of a tax benefits preservation plan in the form of an Amended and Restated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 The tax benefits preservation plan was amended and restated on June 29, 2026 to among other things extend the life of the plan through June 29,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amended and restated, the preferred stock purchase rights and the tax benefits preservation plan will expire no later than June 29, 2029.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Amendment of Certificate of Incorporation and Bylaws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pStyle w:val="TextBody"/>
        <w:bidi w:val="0"/>
        <w:spacing w:before="0" w:after="0"/>
        <w:ind w:left="40" w:right="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170"/>
        <w:gridCol w:w="8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breach of their duty of loyalty to us or our stockholders;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acts or omissions not in good faith or that involve intentional misconduct or a knowing violation of law;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voting or assenting to unlawful payments of dividends or other distributions;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any transaction from which the director derived an improper personal benefit.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Share Ownership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ns_009"/>
      <w:bookmarkEnd w:id="10"/>
      <w:r>
        <w:rPr>
          <w:rFonts w:ascii="Times New Roman;Times;Serif" w:hAnsi="Times New Roman;Times;Serif"/>
          <w:b/>
          <w:i w:val="false"/>
          <w:caps/>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the selling stockholders’ beneficial ownership of our shares as of September 1, 2026. This prospectus covers the offering for resale from time to time of up to 366,162 shares issued as part of the acquisition of the assets of Columbia Power Technologies, Inc.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“selling stockholders” includes partners, pledgees, donees (including charitable organizations), assignees, transferees or other successors-in-interest selling shares received from a named selling stockholder after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sale under this prospectus may be made by a stockholder unless that holder is listed in the table below, in a supplement to this prospectus or in an amendment to the related registration statement that has become effective under the Securities Act. We will supplement or amend this prospectus to include additional selling stockholders upon request and upon provision of all required information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related footnotes set forth: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each selling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different, the name of the natural person(s) who exercise(s) sole/shared voting and/or investment power with respect to the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our shares beneficially owned by such stockholder prior to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being offered for the stockholder’s account;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to be owned by such stockholder after completion of the offering (assuming the sale of all shares offered by this prospectus).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none of the selling stockholders is a broker-dealer registered under Section 15 of the Exchange Act, or an affiliate of a broker-dealer registered under Section 15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the table based on information supplied to us by the selling stockholder. We have not sought to verify such information. The percentages of shares beneficially owned and being offered are based on the 9,004,628 shares of common stock that were outstanding as of September 1, 2026, unless otherwise stated in the footnotes to the table below. Other information about the selling stockholders may also change over time. The address of the selling stockholder is Columbia Power Acquisition, Inc., 2150 Wise Street #5702, Charlottesville, VA 22905.</w:t>
      </w:r>
    </w:p>
    <w:p>
      <w:pPr>
        <w:pStyle w:val="TextBody"/>
        <w:bidi w:val="0"/>
        <w:spacing w:before="0" w:after="0"/>
        <w:ind w:left="0" w:right="0" w:hanging="0"/>
        <w:jc w:val="center"/>
        <w:rPr>
          <w:caps w:val="false"/>
          <w:smallCaps w:val="false"/>
        </w:rPr>
      </w:pPr>
      <w:r>
        <w:rPr>
          <w:caps w:val="false"/>
          <w:smallCaps w:val="false"/>
        </w:rPr>
        <w:t> </w:t>
      </w:r>
    </w:p>
    <w:tbl>
      <w:tblPr>
        <w:tblW w:w="9665" w:type="dxa"/>
        <w:jc w:val="left"/>
        <w:tblInd w:w="0" w:type="dxa"/>
        <w:tblLayout w:type="fixed"/>
        <w:tblCellMar>
          <w:top w:w="0" w:type="dxa"/>
          <w:left w:w="0" w:type="dxa"/>
          <w:bottom w:w="28" w:type="dxa"/>
          <w:right w:w="0" w:type="dxa"/>
        </w:tblCellMar>
      </w:tblPr>
      <w:tblGrid>
        <w:gridCol w:w="3455"/>
        <w:gridCol w:w="60"/>
        <w:gridCol w:w="90"/>
        <w:gridCol w:w="1202"/>
        <w:gridCol w:w="90"/>
        <w:gridCol w:w="90"/>
        <w:gridCol w:w="126"/>
        <w:gridCol w:w="674"/>
        <w:gridCol w:w="215"/>
        <w:gridCol w:w="60"/>
        <w:gridCol w:w="78"/>
        <w:gridCol w:w="1051"/>
        <w:gridCol w:w="60"/>
        <w:gridCol w:w="60"/>
        <w:gridCol w:w="339"/>
        <w:gridCol w:w="536"/>
        <w:gridCol w:w="302"/>
        <w:gridCol w:w="302"/>
        <w:gridCol w:w="308"/>
        <w:gridCol w:w="492"/>
        <w:gridCol w:w="75"/>
      </w:tblGrid>
      <w:tr>
        <w:trPr/>
        <w:tc>
          <w:tcPr>
            <w:tcW w:w="3455" w:type="dxa"/>
            <w:tcBorders>
              <w:bottom w:val="single" w:sz="8" w:space="0" w:color="000000"/>
            </w:tcBorders>
            <w:vAlign w:val="center"/>
          </w:tcPr>
          <w:p>
            <w:pPr>
              <w:pStyle w:val="TableContents"/>
              <w:bidi w:val="0"/>
              <w:spacing w:before="0" w:after="283"/>
              <w:jc w:val="left"/>
              <w:rPr>
                <w:b/>
              </w:rPr>
            </w:pPr>
            <w:r>
              <w:rPr>
                <w:b/>
              </w:rPr>
              <w:t>Selling Stockholder</w:t>
            </w:r>
          </w:p>
        </w:tc>
        <w:tc>
          <w:tcPr>
            <w:tcW w:w="60" w:type="dxa"/>
            <w:tcBorders/>
            <w:tcMar>
              <w:bottom w:w="0" w:type="dxa"/>
            </w:tcMar>
            <w:vAlign w:val="center"/>
          </w:tcPr>
          <w:p>
            <w:pPr>
              <w:pStyle w:val="TableContents"/>
              <w:bidi w:val="0"/>
              <w:spacing w:before="0" w:after="283"/>
              <w:jc w:val="left"/>
              <w:rPr/>
            </w:pPr>
            <w:r>
              <w:rPr/>
              <w:t> </w:t>
            </w:r>
          </w:p>
        </w:tc>
        <w:tc>
          <w:tcPr>
            <w:tcW w:w="2272"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br/>
              <w:t>Shares</w:t>
              <w:br/>
              <w:t xml:space="preserve">Which </w:t>
              <w:br/>
              <w:t xml:space="preserve">May be </w:t>
              <w:br/>
              <w:t xml:space="preserve">Sold in </w:t>
              <w:br/>
              <w:t>This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79" w:type="dxa"/>
            <w:gridSpan w:val="6"/>
            <w:tcBorders>
              <w:bottom w:val="single" w:sz="8" w:space="0" w:color="000000"/>
            </w:tcBorders>
            <w:vAlign w:val="center"/>
          </w:tcPr>
          <w:p>
            <w:pPr>
              <w:pStyle w:val="TableContents"/>
              <w:bidi w:val="0"/>
              <w:spacing w:before="0" w:after="283"/>
              <w:jc w:val="center"/>
              <w:rPr>
                <w:b/>
              </w:rPr>
            </w:pPr>
            <w:r>
              <w:rPr>
                <w:b/>
              </w:rPr>
              <w:t xml:space="preserve">Common Stock </w:t>
              <w:br/>
              <w:t xml:space="preserve">Beneficially Owned </w:t>
              <w:br/>
              <w:t>After this Offering(1)</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92" w:type="dxa"/>
            <w:gridSpan w:val="2"/>
            <w:tcBorders>
              <w:bottom w:val="single" w:sz="8" w:space="0" w:color="000000"/>
            </w:tcBorders>
            <w:vAlign w:val="center"/>
          </w:tcPr>
          <w:p>
            <w:pPr>
              <w:pStyle w:val="TableContents"/>
              <w:bidi w:val="0"/>
              <w:spacing w:before="0" w:after="283"/>
              <w:jc w:val="center"/>
              <w:rPr>
                <w:b/>
              </w:rPr>
            </w:pPr>
            <w:r>
              <w:rPr>
                <w:b/>
              </w:rPr>
              <w:t>Number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8" w:space="0" w:color="000000"/>
            </w:tcBorders>
            <w:vAlign w:val="center"/>
          </w:tcPr>
          <w:p>
            <w:pPr>
              <w:pStyle w:val="TableContents"/>
              <w:bidi w:val="0"/>
              <w:spacing w:before="0" w:after="283"/>
              <w:jc w:val="center"/>
              <w:rPr>
                <w:b/>
              </w:rPr>
            </w:pPr>
            <w:r>
              <w:rPr>
                <w:b/>
              </w:rP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Number</w:t>
            </w:r>
          </w:p>
        </w:tc>
        <w:tc>
          <w:tcPr>
            <w:tcW w:w="302" w:type="dxa"/>
            <w:tcBorders/>
            <w:tcMar>
              <w:bottom w:w="0" w:type="dxa"/>
            </w:tcMar>
            <w:vAlign w:val="center"/>
          </w:tcPr>
          <w:p>
            <w:pPr>
              <w:pStyle w:val="TableContents"/>
              <w:bidi w:val="0"/>
              <w:spacing w:before="0" w:after="283"/>
              <w:jc w:val="left"/>
              <w:rPr/>
            </w:pPr>
            <w:r>
              <w:rPr/>
              <w:t> </w:t>
            </w:r>
          </w:p>
        </w:tc>
        <w:tc>
          <w:tcPr>
            <w:tcW w:w="302"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pPr>
            <w:r>
              <w:rPr/>
              <w:t>Columbia Power Technologies,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2" w:type="dxa"/>
            <w:tcBorders/>
            <w:shd w:fill="CCEEFF" w:val="clear"/>
            <w:tcMar>
              <w:bottom w:w="0" w:type="dxa"/>
            </w:tcMar>
            <w:vAlign w:val="center"/>
          </w:tcPr>
          <w:p>
            <w:pPr>
              <w:pStyle w:val="TableContents"/>
              <w:bidi w:val="0"/>
              <w:spacing w:before="0" w:after="283"/>
              <w:jc w:val="right"/>
              <w:rPr/>
            </w:pPr>
            <w:r>
              <w:rPr/>
              <w:t>366,162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4.0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366,162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9"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right"/>
              <w:rPr/>
            </w:pPr>
            <w:r>
              <w:rPr/>
              <w:t>-</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p>
      <w:pPr>
        <w:pStyle w:val="TextBody"/>
        <w:bidi w:val="0"/>
        <w:spacing w:before="0" w:after="0"/>
        <w:ind w:left="720" w:right="0" w:hanging="72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the selling stockholder will sell all of the common stock offered pursuant to this prospectus.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ns_010"/>
      <w:bookmarkEnd w:id="11"/>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ordinary brokerage transactions and transactions in which the broker-dealer solicits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purchases by a broker-dealer as principal and resale by the broker-dealer for its account;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exchange distribution in accordance with the rules of the applicable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privately negotiated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settlement of short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combination of any such methods of sale; 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any other method permitted pursuant to applicable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 against certain losses, claims, damages and liabilities, including liabilities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plan of distribution, selling stockholders who are also our employees remain subject to the terms, conditions and restrictions of our corporate policies and procedures, including without limitation, our insider trading policy.</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ns_011"/>
      <w:bookmarkEnd w:id="12"/>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on for us by Porter Hedges LLP, Houston, Texas. Any underwriters will be advised about other issues relating to any offering by their own legal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ns_012"/>
      <w:bookmarkEnd w:id="13"/>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Ocean Power Technologies, Inc. and subsidiaries (the Company) incorporated by reference from the Annual Report on Form 10-K of the Company for the year ended April 30, 2026 have been audited by Baker Tilly US, LLP, an independent registered public accounting firm, as stated in their report (which report expresses an unqualified opinion and includes an explanatory paragraph relating to a going concern uncertainty) which is incorporated herein by reference. Such consolidated financial statements have been so incorporated in reliance upon the report of such firm given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OCEAN POWER TECHNOLOGIES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366,162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7177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8"/>
                    <a:stretch>
                      <a:fillRect/>
                    </a:stretch>
                  </pic:blipFill>
                  <pic:spPr bwMode="auto">
                    <a:xfrm>
                      <a:off x="0" y="0"/>
                      <a:ext cx="27717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October 14,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8140/000149315226039261/form10-k.htm" TargetMode="External"/><Relationship Id="rId4" Type="http://schemas.openxmlformats.org/officeDocument/2006/relationships/hyperlink" Target="https://www.sec.gov/Archives/edgar/data/1378140/000149315226042579/form10-q.htm" TargetMode="External"/><Relationship Id="rId5" Type="http://schemas.openxmlformats.org/officeDocument/2006/relationships/hyperlink" Target="https://www.sec.gov/Archives/edgar/data/1378140/000164117225021008/form8-k.htm" TargetMode="External"/><Relationship Id="rId6" Type="http://schemas.openxmlformats.org/officeDocument/2006/relationships/hyperlink" Target="https://www.sec.gov/Archives/edgar/data/1378140/000164117225022274/form8-k.htm" TargetMode="External"/><Relationship Id="rId7" Type="http://schemas.openxmlformats.org/officeDocument/2006/relationships/hyperlink" Target="https://www.sec.gov/Archives/edgar/data/1378140/000164117225022761/form8-k.htm" TargetMode="External"/><Relationship Id="rId8" Type="http://schemas.openxmlformats.org/officeDocument/2006/relationships/hyperlink" Target="https://www.sec.gov/Archives/edgar/data/1378140/000164117225024738/form8-k.htm" TargetMode="External"/><Relationship Id="rId9" Type="http://schemas.openxmlformats.org/officeDocument/2006/relationships/hyperlink" Target="https://www.sec.gov/Archives/edgar/data/1378140/000164117225025689/form8-k.htm" TargetMode="External"/><Relationship Id="rId10" Type="http://schemas.openxmlformats.org/officeDocument/2006/relationships/hyperlink" Target="https://www.sec.gov/Archives/edgar/data/1378140/000149315225012591/form8-k.htm" TargetMode="External"/><Relationship Id="rId11" Type="http://schemas.openxmlformats.org/officeDocument/2006/relationships/hyperlink" Target="https://www.sec.gov/Archives/edgar/data/1378140/000149315225013624/form8-k.htm" TargetMode="External"/><Relationship Id="rId12" Type="http://schemas.openxmlformats.org/officeDocument/2006/relationships/hyperlink" Target="https://www.sec.gov/Archives/edgar/data/1378140/000149315225017184/form8-k.htm" TargetMode="External"/><Relationship Id="rId13" Type="http://schemas.openxmlformats.org/officeDocument/2006/relationships/hyperlink" Target="https://www.sec.gov/Archives/edgar/data/1378140/000149315225020955/form8-k.htm" TargetMode="External"/><Relationship Id="rId14" Type="http://schemas.openxmlformats.org/officeDocument/2006/relationships/hyperlink" Target="https://www.sec.gov/Archives/edgar/data/1378140/000149315225021902/form8-k.htm" TargetMode="External"/><Relationship Id="rId15" Type="http://schemas.openxmlformats.org/officeDocument/2006/relationships/hyperlink" Target="https://www.sec.gov/Archives/edgar/data/1378140/000149315225027865/form8-k.htm" TargetMode="External"/><Relationship Id="rId16" Type="http://schemas.openxmlformats.org/officeDocument/2006/relationships/hyperlink" Target="https://www.sec.gov/Archives/edgar/data/1378140/000149315226000524/form8-k.htm" TargetMode="External"/><Relationship Id="rId17" Type="http://schemas.openxmlformats.org/officeDocument/2006/relationships/hyperlink" Target="https://www.sec.gov/Archives/edgar/data/1378140/000149315226001119/form8-k.htm" TargetMode="External"/><Relationship Id="rId18" Type="http://schemas.openxmlformats.org/officeDocument/2006/relationships/hyperlink" Target="https://www.sec.gov/Archives/edgar/data/1378140/000149315226004017/form8-k.htm" TargetMode="External"/><Relationship Id="rId19" Type="http://schemas.openxmlformats.org/officeDocument/2006/relationships/hyperlink" Target="https://www.sec.gov/Archives/edgar/data/1378140/000149315226007895/form8-k.htm" TargetMode="External"/><Relationship Id="rId20" Type="http://schemas.openxmlformats.org/officeDocument/2006/relationships/hyperlink" Target="https://www.sec.gov/Archives/edgar/data/1378140/000149315226008546/form8-k.htm" TargetMode="External"/><Relationship Id="rId21" Type="http://schemas.openxmlformats.org/officeDocument/2006/relationships/hyperlink" Target="https://www.sec.gov/Archives/edgar/data/1378140/000149315226010048/form8-k.htm" TargetMode="External"/><Relationship Id="rId22" Type="http://schemas.openxmlformats.org/officeDocument/2006/relationships/hyperlink" Target="https://www.sec.gov/Archives/edgar/data/1378140/000149315226012815/form8-k.htm" TargetMode="External"/><Relationship Id="rId23" Type="http://schemas.openxmlformats.org/officeDocument/2006/relationships/hyperlink" Target="https://www.sec.gov/Archives/edgar/data/1378140/000149315226014548/form8-k.htm" TargetMode="External"/><Relationship Id="rId24" Type="http://schemas.openxmlformats.org/officeDocument/2006/relationships/hyperlink" Target="https://www.sec.gov/Archives/edgar/data/1378140/000149315226022516/form8-k.htm" TargetMode="External"/><Relationship Id="rId25" Type="http://schemas.openxmlformats.org/officeDocument/2006/relationships/hyperlink" Target="https://www.sec.gov/Archives/edgar/data/1378140/000149315226024820/form8-k.htm" TargetMode="External"/><Relationship Id="rId26" Type="http://schemas.openxmlformats.org/officeDocument/2006/relationships/hyperlink" Target="https://www.sec.gov/Archives/edgar/data/1378140/000149315226027653/form8-k.htm" TargetMode="External"/><Relationship Id="rId27" Type="http://schemas.openxmlformats.org/officeDocument/2006/relationships/hyperlink" Target="https://www.sec.gov/Archives/edgar/data/1378140/000149315226027926/form8-k.htm" TargetMode="External"/><Relationship Id="rId28" Type="http://schemas.openxmlformats.org/officeDocument/2006/relationships/hyperlink" Target="https://www.sec.gov/Archives/edgar/data/1378140/000149315226030434/form8-k.htm" TargetMode="External"/><Relationship Id="rId29" Type="http://schemas.openxmlformats.org/officeDocument/2006/relationships/hyperlink" Target="https://www.sec.gov/Archives/edgar/data/1378140/000149315226034425/form8-k.htm" TargetMode="External"/><Relationship Id="rId30" Type="http://schemas.openxmlformats.org/officeDocument/2006/relationships/hyperlink" Target="https://www.sec.gov/Archives/edgar/data/1378140/000149315226034862/form8-k.htm" TargetMode="External"/><Relationship Id="rId31" Type="http://schemas.openxmlformats.org/officeDocument/2006/relationships/hyperlink" Target="https://www.sec.gov/Archives/edgar/data/1378140/000149315226036203/form8-k.htm" TargetMode="External"/><Relationship Id="rId32" Type="http://schemas.openxmlformats.org/officeDocument/2006/relationships/hyperlink" Target="https://www.sec.gov/Archives/edgar/data/1378140/000149315226038739/form8-k.htm" TargetMode="External"/><Relationship Id="rId33" Type="http://schemas.openxmlformats.org/officeDocument/2006/relationships/hyperlink" Target="https://www.sec.gov/Archives/edgar/data/1378140/000149315226039393/form8-k.htm" TargetMode="External"/><Relationship Id="rId34" Type="http://schemas.openxmlformats.org/officeDocument/2006/relationships/hyperlink" Target="https://www.sec.gov/Archives/edgar/data/1378140/000149315226039793/form8-k.htm" TargetMode="External"/><Relationship Id="rId35" Type="http://schemas.openxmlformats.org/officeDocument/2006/relationships/hyperlink" Target="https://www.sec.gov/Archives/edgar/data/1378140/000149315226042282/form8-k.htm" TargetMode="External"/><Relationship Id="rId36" Type="http://schemas.openxmlformats.org/officeDocument/2006/relationships/hyperlink" Target="https://www.sec.gov/Archives/edgar/data/1378140/000149315226043115/form8-k.htm" TargetMode="External"/><Relationship Id="rId37" Type="http://schemas.openxmlformats.org/officeDocument/2006/relationships/hyperlink" Target="https://www.sec.gov/Archives/edgar/data/1378140/000095012307005612/y257908ae8va12b.htm" TargetMode="External"/><Relationship Id="rId38" Type="http://schemas.openxmlformats.org/officeDocument/2006/relationships/image" Target="media/image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7702</Words>
  <Characters>41733</Characters>
  <CharactersWithSpaces>49463</CharactersWithSpaces>
  <Paragraphs>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