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311__20"/>
      <w:bookmarkEnd w:id="2"/>
      <w:r>
        <w:rPr>
          <w:rFonts w:ascii="Times New Roman;Times;Serif" w:hAnsi="Times New Roman;Times;Serif"/>
          <w:b/>
          <w:i w:val="false"/>
          <w:caps w:val="false"/>
          <w:smallCaps w:val="false"/>
          <w:sz w:val="36"/>
        </w:rPr>
        <w:t>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b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March 11,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36"/>
        </w:rPr>
        <w:t>Ocean Power Technologies,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21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480"/>
        <w:gridCol w:w="60"/>
        <w:gridCol w:w="1700"/>
        <w:gridCol w:w="60"/>
        <w:gridCol w:w="177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rFonts w:ascii="Times New Roman;Times;Serif" w:hAnsi="Times New Roman;Times;Serif"/>
                <w:b/>
              </w:rPr>
            </w:pPr>
            <w:bookmarkStart w:id="6" w:name="xdx_903_edei--EntityFileNumber_c20260311"/>
            <w:bookmarkEnd w:id="6"/>
            <w:r>
              <w:rPr>
                <w:rFonts w:ascii="Times New Roman;Times;Serif" w:hAnsi="Times New Roman;Times;Serif"/>
                <w:b/>
              </w:rPr>
              <w:t>001-33417</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rPr>
            </w:pPr>
            <w:bookmarkStart w:id="7" w:name="xdx_90A_edei--EntityTaxIdentificationNum"/>
            <w:bookmarkEnd w:id="7"/>
            <w:r>
              <w:rPr>
                <w:rFonts w:ascii="Times New Roman;Times;Serif" w:hAnsi="Times New Roman;Times;Serif"/>
                <w:b/>
              </w:rPr>
              <w:t>22-2535818</w:t>
            </w:r>
          </w:p>
        </w:tc>
      </w:tr>
      <w:tr>
        <w:trPr/>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(Commission File</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(I.R.S. Employer</w:t>
            </w:r>
          </w:p>
        </w:tc>
      </w:tr>
      <w:tr>
        <w:trPr/>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 incorporation)</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Identification No.)</w:t>
            </w:r>
          </w:p>
        </w:tc>
      </w:tr>
    </w:tbl>
    <w:p>
      <w:pPr>
        <w:pStyle w:val="TextBody"/>
        <w:bidi w:val="0"/>
        <w:ind w:left="0" w:right="0" w:firstLine="210"/>
        <w:jc w:val="left"/>
        <w:rPr/>
      </w:pPr>
      <w:r>
        <w:rPr/>
        <w:t> </w:t>
      </w:r>
    </w:p>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283"/>
              <w:jc w:val="center"/>
              <w:rPr>
                <w:rFonts w:ascii="Times New Roman;Times;Serif" w:hAnsi="Times New Roman;Times;Serif"/>
                <w:b/>
              </w:rPr>
            </w:pPr>
            <w:bookmarkStart w:id="8" w:name="xdx_907_edei--EntityAddressAddressLine1_"/>
            <w:bookmarkEnd w:id="8"/>
            <w:r>
              <w:rPr>
                <w:rFonts w:ascii="Times New Roman;Times;Serif" w:hAnsi="Times New Roman;Times;Serif"/>
                <w:b/>
              </w:rPr>
              <w:t xml:space="preserve">28 Engelhard Drive, </w:t>
            </w:r>
            <w:bookmarkStart w:id="9" w:name="xdx_90A_edei--EntityAddressAddressLine2_"/>
            <w:bookmarkEnd w:id="9"/>
            <w:r>
              <w:rPr>
                <w:rFonts w:ascii="Times New Roman;Times;Serif" w:hAnsi="Times New Roman;Times;Serif"/>
                <w:b/>
              </w:rPr>
              <w:t>Suite B</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center"/>
              <w:rPr>
                <w:rFonts w:ascii="Times New Roman;Times;Serif" w:hAnsi="Times New Roman;Times;Serif"/>
                <w:b/>
              </w:rPr>
            </w:pPr>
            <w:bookmarkStart w:id="10" w:name="xdx_90B_edei--EntityAddressCityOrTown_c2"/>
            <w:bookmarkEnd w:id="10"/>
            <w:r>
              <w:rPr>
                <w:rFonts w:ascii="Times New Roman;Times;Serif" w:hAnsi="Times New Roman;Times;Serif"/>
                <w:b/>
              </w:rPr>
              <w:t xml:space="preserve">Monroe Township, </w:t>
            </w:r>
            <w:bookmarkStart w:id="11" w:name="xdx_900_edei--EntityAddressStateOrProvin"/>
            <w:bookmarkEnd w:id="11"/>
            <w:r>
              <w:rPr>
                <w:rFonts w:ascii="Times New Roman;Times;Serif" w:hAnsi="Times New Roman;Times;Serif"/>
                <w:b/>
              </w:rPr>
              <w:t>New Jersey</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rFonts w:ascii="Times New Roman;Times;Serif" w:hAnsi="Times New Roman;Times;Serif"/>
                <w:b/>
              </w:rPr>
            </w:pPr>
            <w:bookmarkStart w:id="12" w:name="xdx_901_edei--EntityAddressPostalZipCode"/>
            <w:bookmarkEnd w:id="12"/>
            <w:r>
              <w:rPr>
                <w:rFonts w:ascii="Times New Roman;Times;Serif" w:hAnsi="Times New Roman;Times;Serif"/>
                <w:b/>
              </w:rPr>
              <w:t>08831</w:t>
            </w:r>
          </w:p>
        </w:tc>
      </w:tr>
      <w:tr>
        <w:trPr/>
        <w:tc>
          <w:tcPr>
            <w:tcW w:w="37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(Address of principal executive offices)</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5_edei--CityAreaCode_c20260311__20"/>
      <w:bookmarkEnd w:id="13"/>
      <w:r>
        <w:rPr>
          <w:rFonts w:ascii="Times New Roman;Times;Serif" w:hAnsi="Times New Roman;Times;Serif"/>
          <w:b/>
          <w:i w:val="false"/>
          <w:caps w:val="false"/>
          <w:smallCaps w:val="false"/>
          <w:sz w:val="20"/>
        </w:rPr>
        <w:t xml:space="preserve">(609) </w:t>
      </w:r>
      <w:bookmarkStart w:id="14" w:name="xdx_904_edei--LocalPhoneNumber_c20260311"/>
      <w:bookmarkEnd w:id="14"/>
      <w:r>
        <w:rPr>
          <w:rFonts w:ascii="Times New Roman;Times;Serif" w:hAnsi="Times New Roman;Times;Serif"/>
          <w:b/>
          <w:i w:val="false"/>
          <w:caps w:val="false"/>
          <w:smallCaps w:val="false"/>
          <w:sz w:val="20"/>
        </w:rPr>
        <w:t>730-0400</w:t>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bookmarkStart w:id="15" w:name="xdx_90F_edei--WrittenCommunications_c202"/>
            <w:bookmarkEnd w:id="15"/>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C_edei--SolicitingMaterial_c202603"/>
            <w:bookmarkEnd w:id="16"/>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311"/>
            <w:bookmarkEnd w:id="19"/>
            <w:r>
              <w:rPr>
                <w:rFonts w:ascii="Times New Roman;Times;Serif" w:hAnsi="Times New Roman;Times;Serif"/>
                <w:b w:val="false"/>
                <w:i w:val="false"/>
                <w:caps w:val="false"/>
                <w:smallCaps w:val="false"/>
                <w:sz w:val="20"/>
              </w:rPr>
              <w:t xml:space="preserve">Common Stock, $0.001 Par Value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60311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Security12bTitle_c20260311"/>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TradingSymbol_c20260311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5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690" w:type="dxa"/>
        <w:jc w:val="left"/>
        <w:tblInd w:w="0" w:type="dxa"/>
        <w:tblLayout w:type="fixed"/>
        <w:tblCellMar>
          <w:top w:w="0" w:type="dxa"/>
          <w:left w:w="0" w:type="dxa"/>
          <w:bottom w:w="0" w:type="dxa"/>
          <w:right w:w="0" w:type="dxa"/>
        </w:tblCellMar>
      </w:tblPr>
      <w:tblGrid>
        <w:gridCol w:w="830"/>
        <w:gridCol w:w="38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Ocean Power Technologies, Inc. (the “Company”) issued an earnings flash announcing preliminary results of operations for the quarter ended January 31, 2026. A copy of the press release is attached hereto as Exhibit 99.1. In accordance with General Instruction B.2 of Form 8-K, the information set forth in Item 2.02 and in the attached Exhibit 99.1 shall be deemed to be “furnished” and shall not be deemed to be “filed” for purposes of Section 18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144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380"/>
        <w:gridCol w:w="7670"/>
      </w:tblGrid>
      <w:tr>
        <w:trPr/>
        <w:tc>
          <w:tcPr>
            <w:tcW w:w="38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99.1</w:t>
            </w:r>
          </w:p>
        </w:tc>
        <w:tc>
          <w:tcPr>
            <w:tcW w:w="7670" w:type="dxa"/>
            <w:tcBorders/>
            <w:vAlign w:val="center"/>
          </w:tcPr>
          <w:p>
            <w:pPr>
              <w:pStyle w:val="TableContents"/>
              <w:bidi w:val="0"/>
              <w:spacing w:before="0" w:after="283"/>
              <w:ind w:left="0" w:right="0" w:hanging="200"/>
              <w:jc w:val="left"/>
              <w:rPr/>
            </w:pPr>
            <w:hyperlink w:anchor="ex99-1.htm">
              <w:r>
                <w:rPr>
                  <w:rStyle w:val="InternetLink"/>
                  <w:rFonts w:ascii="Times New Roman;Times;Serif" w:hAnsi="Times New Roman;Times;Serif"/>
                  <w:sz w:val="20"/>
                </w:rPr>
                <w:t>Press release dated March 11, 2026.</w:t>
              </w:r>
            </w:hyperlink>
          </w:p>
        </w:tc>
      </w:tr>
      <w:tr>
        <w:trPr/>
        <w:tc>
          <w:tcPr>
            <w:tcW w:w="380" w:type="dxa"/>
            <w:tcBorders/>
            <w:vAlign w:val="center"/>
          </w:tcPr>
          <w:p>
            <w:pPr>
              <w:pStyle w:val="TableContents"/>
              <w:bidi w:val="0"/>
              <w:spacing w:before="0" w:after="283"/>
              <w:ind w:left="0" w:right="0" w:hanging="200"/>
              <w:jc w:val="left"/>
              <w:rPr/>
            </w:pPr>
            <w:r>
              <w:rPr/>
              <w:t> </w:t>
            </w:r>
          </w:p>
        </w:tc>
        <w:tc>
          <w:tcPr>
            <w:tcW w:w="7670" w:type="dxa"/>
            <w:tcBorders/>
            <w:vAlign w:val="center"/>
          </w:tcPr>
          <w:p>
            <w:pPr>
              <w:pStyle w:val="TableContents"/>
              <w:bidi w:val="0"/>
              <w:spacing w:before="0" w:after="283"/>
              <w:ind w:left="0" w:right="0" w:hanging="200"/>
              <w:jc w:val="left"/>
              <w:rPr/>
            </w:pPr>
            <w:r>
              <w:rPr/>
              <w:t> </w:t>
            </w:r>
          </w:p>
        </w:tc>
      </w:tr>
      <w:tr>
        <w:trPr/>
        <w:tc>
          <w:tcPr>
            <w:tcW w:w="380"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104</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910"/>
        <w:gridCol w:w="3095"/>
      </w:tblGrid>
      <w:tr>
        <w:trPr/>
        <w:tc>
          <w:tcPr>
            <w:tcW w:w="191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Ocean Power Technologies, Inc.</w:t>
            </w:r>
          </w:p>
        </w:tc>
      </w:tr>
      <w:tr>
        <w:trPr/>
        <w:tc>
          <w:tcPr>
            <w:tcW w:w="191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March 13, 2026</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Philipp Stratmann</w:t>
            </w:r>
          </w:p>
        </w:tc>
      </w:tr>
      <w:tr>
        <w:trPr/>
        <w:tc>
          <w:tcPr>
            <w:tcW w:w="191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 Stratmann</w:t>
            </w:r>
          </w:p>
        </w:tc>
      </w:tr>
      <w:tr>
        <w:trPr/>
        <w:tc>
          <w:tcPr>
            <w:tcW w:w="191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7635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285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 Releases Third Quarter Fiscal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Backlog and Strategic DHS Win Accelerate Maritime Defense Platform Strategy</w:t>
      </w:r>
    </w:p>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N.J., March 11, 2026 (GLOBE NEWSWIRE) – Ocean Power Technologies, Inc. (“OPT” or “the Company”) (NYSE American: OPTT), today announced preliminary financial results for the third quarter ended January 31, 2026 (Q3FY26). The preliminary results included in this press release are subject to change and have not been audited or reviewed by our independent auditor. The Company expects to file its third quarter financial results and update after market close on March 17, 2026.</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3Q26 RESULTS and RECENT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as of January 31, 2026 was approximately $19.9 million, an increase of $12.4 million and 165% over the prior 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Pipeline as of January 31, 2026 stands at $163.9 million, an increase of $74.7 million and 84% increase over the $89.2 million pipeline at October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secured a multi-buoy contract totaling approximately $6.5 million from the U.S. Department of Homeland Security (“DHS”) supporting a U.S. Coast Guard maritime domain awareness mission off San Diego. The award provides multi-quarter revenue visibility, with delivery of four newly built MERROWS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-equipped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systems beginning in Q4 of fiscal 2026. The contract further advances our shift toward higher-margin, recurring revenue. Strategically, this deployment with Anduril, a U.S. based defense technology company and the prime contractor for this project, positions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systems within a scalable, next-generation defense sensing architecture. Operating alongside Anduril’s surveillance towers in one of the nation’s most critical maritime regions, this program establishes a meaningful relationship with DHS and the U.S. Coast Guard. OPT has already contracted the deployment vessel for this project and OPT believes successful execution creates a clear pathway for additional buoy deployments and geographic expansion, reinforcing OPT’s role as a provider of persistent, mission-critical maritime infrastructure for U.S. national security.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Estimated to be $400 thousand to $600 thousand for Q3FY26, compared to $0.8 million for the same period last 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Anticipated net loss of approximately $11.3 to $11.5 million, compared to $6.7 million in the prior 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Estimated to be less than $20.0 million, compared to $14.6 million in the prior-year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EFEFE" w:val="clear"/>
        </w:rPr>
        <w:t>Operational Update on Global Deployments and Infrastructure Development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OPT continued expanding its global operational footprint and advancing its strategy to build a reliable maritime autonomy infrastructure regardless of geography. OPT shipped a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autonomous surface vehicle to Greece to support ongoing customer operations, further strengthening its presence in international defense and commercial markets. In parallel, OPT transitioned its integrated autonomous docking and charging solution from prototype to full-scale build, advancing toward a targeted calendar 2026 early-access commercial launch designed to enable autonomous systems to dock, recharge, and redeploy for persistent offshore missions.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also progressed system integration and open-water validation activities enhancing autonomous navigation and control capabilities through its collaboration with Mythos AI. Together, these initiatives position OPT to move beyond single-asset deployments toward enabling a scalable maritime recharging network, a foundational layer for persistent, multi-domain offshore autonomy. OPT believes this infrastructure-focused strategy strengthens its competitive position and expands long-term recurring revenue opportunities across defense and commercial maritime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&amp;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a conference call to discuss OPT’s financial results will be Wednesday March 18, at 9:00 a.m. Eastern time. Philipp Stratmann, CEO, and Bob Powers, CFO, will host the call.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dial-in numbers for the conference call are 877-407-8291 or 201-689-8345.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Live webcast: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Webcast | Ocean Power Technologies FY2026 Q3 Earnings Conference Call (choruscall.com)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Call Replay:</w:t>
            </w:r>
            <w:r>
              <w:rPr>
                <w:rFonts w:ascii="Times New Roman;Times;Serif" w:hAnsi="Times New Roman;Times;Serif"/>
                <w:b w:val="false"/>
                <w:i w:val="false"/>
                <w:caps w:val="false"/>
                <w:smallCaps w:val="false"/>
                <w:sz w:val="20"/>
              </w:rPr>
              <w:t xml:space="preserve"> Call replay will be available by telephone approximately two hours after the call’s completion. You may access the replay by dialing 877-660-6853 from the U.S. or 201-612-7415 for international callers and using the Conference ID </w:t>
            </w:r>
            <w:r>
              <w:rPr>
                <w:rFonts w:ascii="Times New Roman;Times;Serif" w:hAnsi="Times New Roman;Times;Serif"/>
                <w:b/>
                <w:i w:val="false"/>
                <w:caps w:val="false"/>
                <w:smallCaps w:val="false"/>
                <w:sz w:val="20"/>
              </w:rPr>
              <w:t>13759118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Webcast Replay:</w:t>
            </w:r>
            <w:r>
              <w:rPr>
                <w:rFonts w:ascii="Times New Roman;Times;Serif" w:hAnsi="Times New Roman;Times;Serif"/>
                <w:b w:val="false"/>
                <w:i w:val="false"/>
                <w:caps w:val="false"/>
                <w:smallCaps w:val="false"/>
                <w:sz w:val="20"/>
              </w:rPr>
              <w:t xml:space="preserve"> The archived webcast will be on the OPT investor relations section of its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provides AI-capable seamless integration of Maritime Domain Awareness Systems across platforms.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platforms provide clean and reliable electric power and real-time data communications for remote maritime and subsea applications. We also provide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autonomous surface vessels (ASVs) and marine robotics services. The Company’s headquarters is located in Monroe Township, New Jersey and has an additional office in Richmond, California. To learn more, visit www.OceanPowerTechnologies.com.</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Measures: Pipeline</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Pipeline is not a term recognized under United States generally accepted accounting principles; however, it is a common measurement used in our industry. Our methodology for determining pipeline may not be comparable to the methodologies used by other companies. Pipeline is a representation of the journey potential customers take from the moment they become aware of our products and service to the moment they become a paying customer. The sales pipeline is divided into a series of phases, each representing a different milestone in the customer journey. It is a tool we use to track sales progress, identify potential roadblocks, and make data-driven decisions to improve our sales performance. Revenue estimates derived from our pipeline can be subject to change due to project accelerations, cancellations or delays due to various factors. These factors can also cause revenue amounts to be realized in periods and at levels different than originally projected.</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Except as may be required by applicable law, the Company undertakes no, and expressly disclaims any, obligation to publicly update or revise any forward-looking statements, whether as a result of new information, future events, circumstances or otherwise after the date of this press release, and you are cautioned not to rely upon them unduly,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may be found in the Company’s Annual Report on Form 10-K for the year ended April 30, 2025 filed with the U.S. Securities and Exchange Commission. The Form 10-K is accessible at www.sec.gov or the Investor Relations section of the Company’s website (www.OceanPowerTechnologies.com/investor-relations).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609-730-0400 x401 or InvestorRelations@oceanpowertech.com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609-730-0400 x402 or 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1651</Words>
  <Characters>9735</Characters>
  <CharactersWithSpaces>11391</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