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i w:val="false"/>
          <w:caps w:val="false"/>
          <w:smallCaps w:val="false"/>
          <w:sz w:val="20"/>
        </w:rPr>
        <w:br/>
      </w: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5100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Pursuant to Section 13 or 15(d) of</w:t>
        <w:br/>
        <w:t>the Securities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October 7,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 w:name="xdx_900_edei--EntityRegistrantName_c2025"/>
      <w:bookmarkEnd w:id="4"/>
      <w:r>
        <w:rPr>
          <w:rFonts w:ascii="Times New Roman;Times;Serif" w:hAnsi="Times New Roman;Times;Serif"/>
          <w:b/>
          <w:i w:val="false"/>
          <w:caps w:val="false"/>
          <w:smallCaps w:val="false"/>
          <w:sz w:val="36"/>
        </w:rPr>
        <w:t>Ocean Power Technologies, Inc.</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1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E_edei--EntityFileNumber_c20251007"/>
            <w:bookmarkEnd w:id="6"/>
            <w:r>
              <w:rPr>
                <w:rFonts w:ascii="Times New Roman;Times;Serif" w:hAnsi="Times New Roman;Times;Serif"/>
                <w:b/>
                <w:i w:val="false"/>
                <w:caps w:val="false"/>
                <w:smallCaps w:val="false"/>
                <w:sz w:val="20"/>
              </w:rPr>
              <w:t>001-33417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F_edei--EntityTaxIdentificationNum"/>
            <w:bookmarkEnd w:id="7"/>
            <w:r>
              <w:rPr>
                <w:rFonts w:ascii="Times New Roman;Times;Serif" w:hAnsi="Times New Roman;Times;Serif"/>
                <w:b/>
                <w:i w:val="false"/>
                <w:caps w:val="false"/>
                <w:smallCaps w:val="false"/>
                <w:sz w:val="20"/>
              </w:rPr>
              <w:t>22-2535818</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28 Engelhard Drive, </w:t>
            </w:r>
            <w:bookmarkStart w:id="9" w:name="xdx_908_edei--EntityAddressAddressLine2_"/>
            <w:bookmarkEnd w:id="9"/>
            <w:r>
              <w:rPr>
                <w:rFonts w:ascii="Times New Roman;Times;Serif" w:hAnsi="Times New Roman;Times;Serif"/>
                <w:b/>
                <w:i w:val="false"/>
                <w:caps w:val="false"/>
                <w:smallCaps w:val="false"/>
                <w:sz w:val="20"/>
              </w:rPr>
              <w:t>Suite 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3_edei--EntityAddressCityOrTown_c2"/>
            <w:bookmarkEnd w:id="10"/>
            <w:r>
              <w:rPr>
                <w:rFonts w:ascii="Times New Roman;Times;Serif" w:hAnsi="Times New Roman;Times;Serif"/>
                <w:b/>
                <w:i w:val="false"/>
                <w:caps w:val="false"/>
                <w:smallCaps w:val="false"/>
                <w:sz w:val="20"/>
              </w:rPr>
              <w:t xml:space="preserve">Monroe Township, </w:t>
            </w:r>
            <w:bookmarkStart w:id="11" w:name="xdx_906_edei--EntityAddressStateOrProvin"/>
            <w:bookmarkEnd w:id="11"/>
            <w:r>
              <w:rPr>
                <w:rFonts w:ascii="Times New Roman;Times;Serif" w:hAnsi="Times New Roman;Times;Serif"/>
                <w:b/>
                <w:i w:val="false"/>
                <w:caps w:val="false"/>
                <w:smallCaps w:val="false"/>
                <w:sz w:val="20"/>
              </w:rPr>
              <w:t>New Jersey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3_edei--EntityAddressPostalZipCode"/>
            <w:bookmarkEnd w:id="12"/>
            <w:r>
              <w:rPr>
                <w:rFonts w:ascii="Times New Roman;Times;Serif" w:hAnsi="Times New Roman;Times;Serif"/>
                <w:b/>
                <w:i w:val="false"/>
                <w:caps w:val="false"/>
                <w:smallCaps w:val="false"/>
                <w:sz w:val="20"/>
              </w:rPr>
              <w:t>08831</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D_edei--CityAreaCode_c20251007__20"/>
      <w:bookmarkEnd w:id="13"/>
      <w:r>
        <w:rPr>
          <w:rFonts w:ascii="Times New Roman;Times;Serif" w:hAnsi="Times New Roman;Times;Serif"/>
          <w:b/>
          <w:i w:val="false"/>
          <w:caps w:val="false"/>
          <w:smallCaps w:val="false"/>
          <w:sz w:val="20"/>
        </w:rPr>
        <w:t xml:space="preserve">609) </w:t>
      </w:r>
      <w:bookmarkStart w:id="14" w:name="xdx_904_edei--LocalPhoneNumber_c20251007"/>
      <w:bookmarkEnd w:id="14"/>
      <w:r>
        <w:rPr>
          <w:rFonts w:ascii="Times New Roman;Times;Serif" w:hAnsi="Times New Roman;Times;Serif"/>
          <w:b/>
          <w:i w:val="false"/>
          <w:caps w:val="false"/>
          <w:smallCaps w:val="false"/>
          <w:sz w:val="20"/>
        </w:rPr>
        <w:t>730-0400</w:t>
        <w:br/>
      </w: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firstLine="36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5" w:name="xdx_900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6" w:name="xdx_905_edei--SolicitingMaterial_c202510"/>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7" w:name="xdx_907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8" w:name="xdx_90E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10" w:type="dxa"/>
        <w:jc w:val="left"/>
        <w:tblInd w:w="0" w:type="dxa"/>
        <w:tblLayout w:type="fixed"/>
        <w:tblCellMar>
          <w:top w:w="0" w:type="dxa"/>
          <w:left w:w="0" w:type="dxa"/>
          <w:bottom w:w="28" w:type="dxa"/>
          <w:right w:w="0" w:type="dxa"/>
        </w:tblCellMar>
      </w:tblPr>
      <w:tblGrid>
        <w:gridCol w:w="3320"/>
        <w:gridCol w:w="60"/>
        <w:gridCol w:w="1580"/>
        <w:gridCol w:w="60"/>
        <w:gridCol w:w="3590"/>
      </w:tblGrid>
      <w:tr>
        <w:trPr/>
        <w:tc>
          <w:tcPr>
            <w:tcW w:w="33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 (s)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1_edei--Security12bTitle_c20251007"/>
            <w:bookmarkEnd w:id="19"/>
            <w:r>
              <w:rPr>
                <w:rFonts w:ascii="Times New Roman;Times;Serif" w:hAnsi="Times New Roman;Times;Serif"/>
                <w:b w:val="false"/>
                <w:i w:val="false"/>
                <w:caps w:val="false"/>
                <w:smallCaps w:val="false"/>
                <w:sz w:val="20"/>
              </w:rPr>
              <w:t>Common Stock, $0.001 Par Value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A_edei--TradingSymbol_c20251007__2"/>
            <w:bookmarkEnd w:id="20"/>
            <w:r>
              <w:rPr>
                <w:rFonts w:ascii="Times New Roman;Times;Serif" w:hAnsi="Times New Roman;Times;Serif"/>
                <w:b w:val="false"/>
                <w:i w:val="false"/>
                <w:caps w:val="false"/>
                <w:smallCaps w:val="false"/>
                <w:sz w:val="20"/>
              </w:rPr>
              <w:t>OPTT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8_edei--SecurityExchangeName_c2025"/>
            <w:bookmarkEnd w:id="21"/>
            <w:r>
              <w:rPr>
                <w:rFonts w:ascii="Times New Roman;Times;Serif" w:hAnsi="Times New Roman;Times;Serif"/>
                <w:b w:val="false"/>
                <w:i w:val="false"/>
                <w:caps w:val="false"/>
                <w:smallCaps w:val="false"/>
                <w:sz w:val="20"/>
              </w:rPr>
              <w:t>NYSE American</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2_edei--Security12bTitle_c20251007"/>
            <w:bookmarkEnd w:id="22"/>
            <w:r>
              <w:rPr>
                <w:rFonts w:ascii="Times New Roman;Times;Serif" w:hAnsi="Times New Roman;Times;Serif"/>
                <w:b w:val="false"/>
                <w:i w:val="false"/>
                <w:caps w:val="false"/>
                <w:smallCaps w:val="false"/>
                <w:sz w:val="20"/>
              </w:rPr>
              <w:t>Series A Preferred Stock Purchase Rights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B_edei--TradingSymbol_c20251007__2"/>
            <w:bookmarkEnd w:id="23"/>
            <w:r>
              <w:rPr>
                <w:rFonts w:ascii="Times New Roman;Times;Serif" w:hAnsi="Times New Roman;Times;Serif"/>
                <w:b w:val="false"/>
                <w:i w:val="false"/>
                <w:caps w:val="false"/>
                <w:smallCaps w:val="false"/>
                <w:sz w:val="20"/>
              </w:rPr>
              <w:t>N/A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A_edei--SecurityExchangeName_c2025"/>
            <w:bookmarkEnd w:id="24"/>
            <w:r>
              <w:rPr>
                <w:rFonts w:ascii="Times New Roman;Times;Serif" w:hAnsi="Times New Roman;Times;Serif"/>
                <w:b w:val="false"/>
                <w:i w:val="false"/>
                <w:caps w:val="false"/>
                <w:smallCaps w:val="false"/>
                <w:sz w:val="20"/>
              </w:rPr>
              <w:t>NYSE American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B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2025, Ocean Power Technologies, Inc. (the “Company”) entered into a securities purchase agreement (the “Securities Purchase Agreement”) with certain institutional investors (the “Investors”) under which the Company agreed to issue and sell, in one or more registered public offerings by the Company directly to the Investor (the “Offering”), convertible notes for up to an aggregate principal amount of $25,000,000 (the “Notes”) that will be convertible into shares of the Company’s common stock, par value of $0.001 per share (the “Common Stock”). On May 15, 2025, the Company issued and sold to the Investors Notes in the original aggregate principal amount of $10,000,000.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2025, the Company issued and sold to the Investors $6,500,000 of additional Notes. The additional Notes and shares of Common Stock issuable upon conversion of the additional Notes are being offered and sold pursuant to a prospectus supplement which will be filed in connection with a “takedown” from the Company’s shelf registration statement on Form S-3 (File No. 333-275843) declared effective on December 12, 2023. An opinion of counsel regarding the validity of the securities being issued and sold by the Company in the transactions described in the Securities Purchase Agreement is filed as Exhibit 5.1.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the terms of the Securities Purchase Agreement was included in the Company’s Current Report on Form 8-K filed on May 15, 2025, which descriptions were not complete and are qualified in its entirety by reference to the full text of those agreements, copies of which are included as Exhibits 10.1 and 10.2 hereto, and incorporated by reference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08"/>
        <w:gridCol w:w="60"/>
        <w:gridCol w:w="9337"/>
      </w:tblGrid>
      <w:tr>
        <w:trPr/>
        <w:tc>
          <w:tcPr>
            <w:tcW w:w="808"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0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left"/>
              <w:rPr/>
            </w:pPr>
            <w:hyperlink w:anchor="ex5-1.htm">
              <w:r>
                <w:rPr>
                  <w:rStyle w:val="InternetLink"/>
                  <w:rFonts w:ascii="Times New Roman;Times;Serif" w:hAnsi="Times New Roman;Times;Serif"/>
                  <w:b w:val="false"/>
                  <w:i w:val="false"/>
                  <w:caps w:val="false"/>
                  <w:smallCaps w:val="false"/>
                  <w:sz w:val="20"/>
                </w:rPr>
                <w:t>Opinion of Porter Hedges LLP.</w:t>
              </w:r>
            </w:hyperlink>
          </w:p>
        </w:tc>
      </w:tr>
      <w:tr>
        <w:trPr/>
        <w:tc>
          <w:tcPr>
            <w:tcW w:w="80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Securities Purchase Agreement dated May 15, 2025 between Ocean Power Technologies, Inc. and the investors party thereto (incorporated by reference to Exhibit 10.1 to the Company’s Current Report on Form 8-K filed on May 15, 2025).</w:t>
              </w:r>
            </w:hyperlink>
          </w:p>
        </w:tc>
      </w:tr>
      <w:tr>
        <w:trPr/>
        <w:tc>
          <w:tcPr>
            <w:tcW w:w="80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Form of Series B Convertible Note between Ocean Power Technologies, Inc. issued by Ocean Power Technologies, Inc. to the holder (incorporated by reference to Exhibit 10.2 to the Company’s Current Report on Form 8-K filed on May 15, 2025).</w:t>
              </w:r>
            </w:hyperlink>
          </w:p>
        </w:tc>
      </w:tr>
      <w:tr>
        <w:trPr/>
        <w:tc>
          <w:tcPr>
            <w:tcW w:w="80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7" w:type="dxa"/>
            <w:tcBorders/>
            <w:tcMar>
              <w:bottom w:w="0" w:type="dxa"/>
            </w:tcMar>
            <w:vAlign w:val="center"/>
          </w:tcPr>
          <w:p>
            <w:pPr>
              <w:pStyle w:val="TableContents"/>
              <w:bidi w:val="0"/>
              <w:spacing w:before="0" w:after="283"/>
              <w:jc w:val="left"/>
              <w:rPr/>
            </w:pPr>
            <w:hyperlink w:anchor="ex5-1.htm">
              <w:r>
                <w:rPr>
                  <w:rStyle w:val="InternetLink"/>
                  <w:rFonts w:ascii="Times New Roman;Times;Serif" w:hAnsi="Times New Roman;Times;Serif"/>
                  <w:b w:val="false"/>
                  <w:i w:val="false"/>
                  <w:caps w:val="false"/>
                  <w:smallCaps w:val="false"/>
                  <w:sz w:val="20"/>
                </w:rPr>
                <w:t>Consent of Porter Hedges LLP (included in Exhibit 5.1).</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center"/>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1925"/>
        <w:gridCol w:w="3095"/>
      </w:tblGrid>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7, 2025</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Philipp Stratmann</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 Stratmann</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bookmarkStart w:id="26" w:name="ex5-1.htm"/>
      <w:bookmarkStart w:id="27" w:name="ksex5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tbl>
      <w:tblPr>
        <w:tblW w:w="8375" w:type="dxa"/>
        <w:jc w:val="left"/>
        <w:tblInd w:w="0" w:type="dxa"/>
        <w:tblLayout w:type="fixed"/>
        <w:tblCellMar>
          <w:top w:w="0" w:type="dxa"/>
          <w:left w:w="0" w:type="dxa"/>
          <w:bottom w:w="0" w:type="dxa"/>
          <w:right w:w="0" w:type="dxa"/>
        </w:tblCellMar>
      </w:tblPr>
      <w:tblGrid>
        <w:gridCol w:w="5925"/>
        <w:gridCol w:w="60"/>
        <w:gridCol w:w="2390"/>
      </w:tblGrid>
      <w:tr>
        <w:trPr/>
        <w:tc>
          <w:tcPr>
            <w:tcW w:w="592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3752850" cy="93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3752850" cy="933450"/>
                          </a:xfrm>
                          <a:prstGeom prst="rect">
                            <a:avLst/>
                          </a:prstGeom>
                        </pic:spPr>
                      </pic:pic>
                    </a:graphicData>
                  </a:graphic>
                </wp:inline>
              </w:drawing>
            </w:r>
          </w:p>
        </w:tc>
        <w:tc>
          <w:tcPr>
            <w:tcW w:w="6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239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 Main Street, 36th Floor</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77002</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{713} 226-6000</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Telecopier {713} 228-1331</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porterhedges.com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7,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014660/0029</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Engelhard Drive, Suite B</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Monroe Township, New Jersey 08831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Ocean Power Technologies,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preparation for filing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of a prospectus supplement (the “</w:t>
      </w:r>
      <w:r>
        <w:rPr>
          <w:rFonts w:ascii="Times New Roman;Times;Serif" w:hAnsi="Times New Roman;Times;Serif"/>
          <w:b/>
          <w:i/>
          <w:caps w:val="false"/>
          <w:smallCaps w:val="false"/>
          <w:sz w:val="20"/>
        </w:rPr>
        <w:t>Prospectus Supplement</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related to the Company’s shelf registration statement on Form S-3 (Registration No. 333-275843) (as amended,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The Prospectus Supplement relates to the issuance by the Company of up to $6,500,000 of aggregate principal amount of Series B-2 Senior Convertible Notes due 2027 (the “</w:t>
      </w:r>
      <w:r>
        <w:rPr>
          <w:rFonts w:ascii="Times New Roman;Times;Serif" w:hAnsi="Times New Roman;Times;Serif"/>
          <w:b/>
          <w:i/>
          <w:caps w:val="false"/>
          <w:smallCaps w:val="false"/>
          <w:sz w:val="20"/>
        </w:rPr>
        <w:t>Notes</w:t>
      </w:r>
      <w:r>
        <w:rPr>
          <w:rFonts w:ascii="Times New Roman;Times;Serif" w:hAnsi="Times New Roman;Times;Serif"/>
          <w:b w:val="false"/>
          <w:i w:val="false"/>
          <w:caps w:val="false"/>
          <w:smallCaps w:val="false"/>
          <w:sz w:val="20"/>
        </w:rPr>
        <w:t>”) and the shares of common stock, $0.001 par value per share, of the Company initially issuable upon conversion of the Notes (the “</w:t>
      </w:r>
      <w:r>
        <w:rPr>
          <w:rFonts w:ascii="Times New Roman;Times;Serif" w:hAnsi="Times New Roman;Times;Serif"/>
          <w:b/>
          <w:i/>
          <w:caps w:val="false"/>
          <w:smallCaps w:val="false"/>
          <w:sz w:val="20"/>
        </w:rPr>
        <w:t>Conversion Shares</w:t>
      </w:r>
      <w:r>
        <w:rPr>
          <w:rFonts w:ascii="Times New Roman;Times;Serif" w:hAnsi="Times New Roman;Times;Serif"/>
          <w:b w:val="false"/>
          <w:i w:val="false"/>
          <w:caps w:val="false"/>
          <w:smallCaps w:val="false"/>
          <w:sz w:val="20"/>
        </w:rPr>
        <w:t>” and, together with the Notes, the “</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pursuant to the Registration Statement and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opinions we express below, we have examined the originals or copies, certified or otherwise identified, of: (i) the Certificate of Incorporation and Bylaws, each as amended to date, of the Company; (ii) the Registration Statement; (iii) the Prospectus Supplement; and (v) the corporate records of the Company, including minute books of the Company, certificates of public officials and of representatives of the Company, statutes and other instruments and documents as we considered appropriate for purposes of the opinions hereafter expressed. In giving such opinions, we have relied upon certificates of officers of the Company and of public officials with respect to the accuracy of the material factual matters contained in such certificates. In giving the opinions below, we have assumed that the signatures on all documents examined by us are genuine, that all documents submitted to us as originals are accurate and complete, that all documents submitted to us as copies are true and correct copies of the originals thereof and that all information submitted to us was accurate and complete.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our examination, we have assumed and have not verified (i) that all signatures on documents examined by us are genuine, (ii) the legal capacity of all natural persons, (iii) the authenticity of all documents submitted to us as originals, and (iv) the conformity to the original documents of all documents submitted to us as copies thereof.</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7,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subject to the assumptions, exceptions and qualifications set forth herein, we are of the opinion that, when (i) the Prospectus Supplement has been delivered and filed as required by such laws; (ii) the board of directors of the Company has taken all necessary corporate action to authorize the issuance of the Notes and the Conversion Shares and related matters; and (iii) the Notes have been duly executed, authenticated, issued and delivered as contemplated by the Registration Statement and the Prospectus, then (a) the Notes will constitute the valid and legally binding obligations of the Company, enforceable against the Company in accordance with their terms, and (b) the Conversion Shares have been duly authorized and, when issued by the Company upon conversion of the Notes in accordance with the terms of the Notes, will be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set forth above in clause (a) above is subject to and limited by the effect of (i) applicable bankruptcy, insolvency, fraudulent conveyance and transfer, receivership, conservatorship, arrangement, moratorium and other similar laws affecting or relating to the rights of creditors generally, (ii) general equitable principles (whether considered in a proceeding in equity or at law) and (iii) requirements of reasonableness, good faith, materiality and fair dealing and the discretion of the court before which any matter may be brought.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herein are limited to the General Corporation Law of the State of Delaware and the federal securities laws of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Exhibit 5.1 to the Company’s Current Report on Form 8-K. We also consent to the references to our Firm under the heading “Legal Matters” in the Prospectus Supplement. In giving this consent, we do not hereby admit we are in the category of persons whose consent is required under Section 7 of the Act or the rules and regulations of the Commission thereunder.</w:t>
      </w:r>
    </w:p>
    <w:p>
      <w:pPr>
        <w:pStyle w:val="TextBody"/>
        <w:bidi w:val="0"/>
        <w:spacing w:before="0" w:after="0"/>
        <w:ind w:left="0" w:right="0" w:firstLine="720"/>
        <w:jc w:val="both"/>
        <w:rPr>
          <w:caps w:val="false"/>
          <w:smallCaps w:val="false"/>
        </w:rPr>
      </w:pPr>
      <w:r>
        <w:rPr>
          <w:caps w:val="false"/>
          <w:smallCaps w:val="false"/>
        </w:rPr>
        <w:t> </w:t>
      </w:r>
    </w:p>
    <w:tbl>
      <w:tblPr>
        <w:tblW w:w="2045" w:type="dxa"/>
        <w:jc w:val="left"/>
        <w:tblInd w:w="0" w:type="dxa"/>
        <w:tblLayout w:type="fixed"/>
        <w:tblCellMar>
          <w:top w:w="0" w:type="dxa"/>
          <w:left w:w="0" w:type="dxa"/>
          <w:bottom w:w="0" w:type="dxa"/>
          <w:right w:w="0" w:type="dxa"/>
        </w:tblCellMar>
      </w:tblPr>
      <w:tblGrid>
        <w:gridCol w:w="75"/>
        <w:gridCol w:w="19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Porter Hedges LLP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PORTER HEDGES LLP</w:t>
            </w:r>
          </w:p>
        </w:tc>
      </w:tr>
    </w:tbl>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78140/000164117225010584/ex10-1.htm" TargetMode="External"/><Relationship Id="rId3" Type="http://schemas.openxmlformats.org/officeDocument/2006/relationships/hyperlink" Target="https://www.sec.gov/Archives/edgar/data/1378140/000164117225010584/ex10-2.htm" TargetMode="Externa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1491</Words>
  <Characters>8095</Characters>
  <CharactersWithSpaces>9597</CharactersWithSpaces>
  <Paragraphs>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