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ilename1.htm"/>
      <w:bookmarkStart w:id="1" w:name="ksfilename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Draft Registration Statement Has Not Been Publicly Filed with the United States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August 28,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495"/>
        <w:gridCol w:w="60"/>
        <w:gridCol w:w="237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22-2535818</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(Primary Standard Industrial </w:t>
              <w:br/>
              <w:t>Classification Code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br/>
        <w:t>(609) 730-0400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 Stratmann</w:t>
        <w:br/>
        <w:t>Chief Executive Officer</w:t>
        <w:br/>
        <w:t>Ocean Power Technologies, Inc.</w:t>
        <w:br/>
        <w:t>28 Engelhard Drive, Suite 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br/>
        <w:t>(609) 730-0400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J. Poli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Porter Hedges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 Main Street, 36th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77002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(713) 226-6682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As soon as practicable after the effective date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tbl>
      <w:tblPr>
        <w:tblW w:w="7695" w:type="dxa"/>
        <w:jc w:val="left"/>
        <w:tblInd w:w="0" w:type="dxa"/>
        <w:shd w:fill="FFFFFF" w:val="clear"/>
        <w:tblLayout w:type="fixed"/>
        <w:tblCellMar>
          <w:top w:w="60" w:type="dxa"/>
          <w:left w:w="0" w:type="dxa"/>
          <w:bottom w:w="60" w:type="dxa"/>
          <w:right w:w="0" w:type="dxa"/>
        </w:tblCellMar>
      </w:tblPr>
      <w:tblGrid>
        <w:gridCol w:w="2750"/>
        <w:gridCol w:w="2630"/>
        <w:gridCol w:w="2315"/>
      </w:tblGrid>
      <w:tr>
        <w:trPr/>
        <w:tc>
          <w:tcPr>
            <w:tcW w:w="2750" w:type="dxa"/>
            <w:tcBorders>
              <w:top w:val="single" w:sz="8" w:space="0" w:color="000000"/>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30" w:type="dxa"/>
            <w:tcBorders>
              <w:top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315" w:type="dxa"/>
            <w:tcBorders>
              <w:top w:val="single" w:sz="8" w:space="0" w:color="000000"/>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AUGUST 28,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Pre-Funded Warrants to Purchase 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Warrants to Purchase 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Shares of Common Stock Issuable Upon Exercise of Pre-Funded Warrants and Common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717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638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we are offering an aggregate of up to            shares of our common stock, par value $0.001 per share (the “common stock”), together with common warrants (the “common warrants”) to purchase up to an aggregate of            shares of our common stock. This offering also relates to the offering of the shares of common stock that are issuable from time to time upon exercise of the common warrants pursuant to this prospectus. Each share of our common stock is being sold together with one warrant to purchase one share of our common stock (the “common warrants”) at an assumed combined purchase price of $            per share and accompanying common warrant. Each common warrant will have an exercise price of $            per share, will be exercisable immediately upon issuance and will expire five years from the initial exercise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those purchasers, if any, whose purchase of the common stock in this offering would result in the purchaser, together with its affiliates and certain related parties, beneficially owning more than 4.99% (or at the election of the purchaser, 9.99%) of our outstanding common stock immediately following the consummation of this offering, the opportunity to purchase, if they so choose, pre-funded warrants in lieu of the common stock that would otherwise result in ownership in excess of 4.99% (or 9.99%, as applicable) of our outstanding common stock (the “pre-funded warrants”). The purchase price for each pre-funded warrant will equal the per share public offering price for the common stock in this offering less the $0.0001 per share exercise price of each such pre-funded warrant. Each pre-funded warrant will be exercisable upon issuance and will not expire prior to exercise. For each pre-funded warrant we sell, the number of shares of common stock we are offering will be decreased on a one-for-one basis. This prospectus also relates to the shares of common stock that are issuable from time to time upon exercise of the pre-funded warrants. This prospectus also relates to the shares of common stock that are issuable from time to time upon exercise of the pre-funded warrants and common warrants.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the pre-funded warrants and common warrants and we do not expect a market to develop. In addition, we do not intend to apply for the listing of the pre-funded warrants and common warrants on any national securities exchange or other trading market. Without an active trading market, the liquidity of the pre-funded warrants and common warrants will be limited.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 2026, unless we decide to terminate the offering (which we may do at any time in our discretion) prior to that date. We will have one closing for all the securities purchased in this offering. The combined public offering price per share of common stock (or pre-funded warrant) and accompanying common warrant will be fixed for the duration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(the “placement agent”) to act as our placement agent in connection with this offering. The placement agent has agreed to use their reasonable best efforts to place the securities offered by this prospectus. We have agreed to pay the placement agent the placement agent fees set forth in the table below, which assumes that we sell all of the securities offered by this prospectus. The placement agent is not purchasing or selling any of the securities offered pursuant to this prospectus. The securities will be sold directly to the purchasers pursuant to the securities purchase agreement. There is no minimum number of securities or amount of proceeds required as a condition to closing in this offering. We will deliver all securities to be issued in connection with this offering upon receipt of investor funds received by us. Accordingly, neither we nor the placement agent have made any arrangements to place investor funds in an escrow account or trust account since the placement agent will not receive investor funds in connection with the sale of the securities offered hereunder. In addition, because there is no escrow trust or similar arrangement and no minimum offering amount, investors could be in a position where they have invested in our company, but we are unable to fulfill all of our contemplated objectives due to a lack of interest in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 The last reported sale price of our common stock on August 26, 2026 was $0.18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See “Risk Factors” beginning on page 4 of this prospectus and in our reports filed with the Securities and Exchange Commission which are incorporated by reference herein for a discussion of information that should be considered in connection with an investment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035"/>
        <w:gridCol w:w="60"/>
        <w:gridCol w:w="310"/>
        <w:gridCol w:w="1734"/>
        <w:gridCol w:w="60"/>
        <w:gridCol w:w="60"/>
        <w:gridCol w:w="448"/>
        <w:gridCol w:w="2511"/>
        <w:gridCol w:w="60"/>
        <w:gridCol w:w="60"/>
        <w:gridCol w:w="140"/>
        <w:gridCol w:w="78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Per Share of</w:t>
            </w:r>
          </w:p>
          <w:p>
            <w:pPr>
              <w:pStyle w:val="TableContents"/>
              <w:bidi w:val="0"/>
              <w:jc w:val="center"/>
              <w:rPr>
                <w:rFonts w:ascii="Times New Roman;Times;Serif" w:hAnsi="Times New Roman;Times;Serif"/>
                <w:b/>
              </w:rPr>
            </w:pPr>
            <w:r>
              <w:rPr>
                <w:rFonts w:ascii="Times New Roman;Times;Serif" w:hAnsi="Times New Roman;Times;Serif"/>
                <w:b/>
              </w:rPr>
              <w:t>Common Stock and</w:t>
            </w:r>
          </w:p>
          <w:p>
            <w:pPr>
              <w:pStyle w:val="TableContents"/>
              <w:bidi w:val="0"/>
              <w:jc w:val="center"/>
              <w:rPr>
                <w:rFonts w:ascii="Times New Roman;Times;Serif" w:hAnsi="Times New Roman;Times;Serif"/>
                <w:b/>
              </w:rPr>
            </w:pPr>
            <w:r>
              <w:rPr>
                <w:rFonts w:ascii="Times New Roman;Times;Serif" w:hAnsi="Times New Roman;Times;Serif"/>
                <w:b/>
              </w:rPr>
              <w:t>Accompanying</w:t>
            </w:r>
          </w:p>
          <w:p>
            <w:pPr>
              <w:pStyle w:val="TableContents"/>
              <w:bidi w:val="0"/>
              <w:jc w:val="center"/>
              <w:rPr>
                <w:rFonts w:ascii="Times New Roman;Times;Serif" w:hAnsi="Times New Roman;Times;Serif"/>
                <w:b/>
              </w:rPr>
            </w:pPr>
            <w:r>
              <w:rPr>
                <w:rFonts w:ascii="Times New Roman;Times;Serif" w:hAnsi="Times New Roman;Times;Serif"/>
                <w:b/>
              </w:rPr>
              <w:t>Common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Per Pre-Funded</w:t>
            </w:r>
          </w:p>
          <w:p>
            <w:pPr>
              <w:pStyle w:val="TableContents"/>
              <w:bidi w:val="0"/>
              <w:jc w:val="center"/>
              <w:rPr>
                <w:rFonts w:ascii="Times New Roman;Times;Serif" w:hAnsi="Times New Roman;Times;Serif"/>
                <w:b/>
              </w:rPr>
            </w:pPr>
            <w:r>
              <w:rPr>
                <w:rFonts w:ascii="Times New Roman;Times;Serif" w:hAnsi="Times New Roman;Times;Serif"/>
                <w:b/>
              </w:rPr>
              <w:t>Warrant and Accompanying</w:t>
            </w:r>
          </w:p>
          <w:p>
            <w:pPr>
              <w:pStyle w:val="TableContents"/>
              <w:bidi w:val="0"/>
              <w:jc w:val="center"/>
              <w:rPr>
                <w:rFonts w:ascii="Times New Roman;Times;Serif" w:hAnsi="Times New Roman;Times;Serif"/>
                <w:b/>
              </w:rPr>
            </w:pPr>
            <w:r>
              <w:rPr>
                <w:rFonts w:ascii="Times New Roman;Times;Serif" w:hAnsi="Times New Roman;Times;Serif"/>
                <w:b/>
              </w:rPr>
              <w:t>Common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offering price</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Placement agent fees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1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 cash placement commission equal to 6.0% of the aggregate proceeds from this offering. We have also agreed to reimburse the placement agent up to $100,000 for expenses of legal counsel and clearing expenses of $15,950 in connection with this offering. See “Plan of Distribution” beginning on page 21 for a description of compensation payable to the placement agent.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expects to deliver the securities offered hereby to purchasers on or about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6890"/>
        <w:gridCol w:w="60"/>
        <w:gridCol w:w="455"/>
      </w:tblGrid>
      <w:tr>
        <w:trPr/>
        <w:tc>
          <w:tcPr>
            <w:tcW w:w="6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90" w:type="dxa"/>
            <w:tcBorders/>
            <w:shd w:fill="CCEEFF" w:val="clear"/>
            <w:vAlign w:val="center"/>
          </w:tcPr>
          <w:p>
            <w:pPr>
              <w:pStyle w:val="TableContents"/>
              <w:bidi w:val="0"/>
              <w:spacing w:before="0" w:after="283"/>
              <w:jc w:val="left"/>
              <w:rPr/>
            </w:pPr>
            <w:hyperlink w:anchor="drs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FFFFFF" w:val="clear"/>
            <w:vAlign w:val="center"/>
          </w:tcPr>
          <w:p>
            <w:pPr>
              <w:pStyle w:val="TableContents"/>
              <w:bidi w:val="0"/>
              <w:spacing w:before="0" w:after="283"/>
              <w:jc w:val="left"/>
              <w:rPr/>
            </w:pPr>
            <w:hyperlink w:anchor="drs_002">
              <w:r>
                <w:rPr>
                  <w:rStyle w:val="InternetLink"/>
                  <w:rFonts w:ascii="Times New Roman;Times;Serif" w:hAnsi="Times New Roman;Times;Serif"/>
                  <w:b w:val="false"/>
                  <w:i w:val="false"/>
                  <w:caps w:val="false"/>
                  <w:smallCaps w:val="false"/>
                  <w:sz w:val="20"/>
                </w:rPr>
                <w:t>PROSPECTUS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CCEEFF" w:val="clear"/>
            <w:vAlign w:val="center"/>
          </w:tcPr>
          <w:p>
            <w:pPr>
              <w:pStyle w:val="TableContents"/>
              <w:bidi w:val="0"/>
              <w:spacing w:before="0" w:after="283"/>
              <w:jc w:val="left"/>
              <w:rPr/>
            </w:pPr>
            <w:hyperlink w:anchor="drs_003">
              <w:r>
                <w:rPr>
                  <w:rStyle w:val="InternetLink"/>
                  <w:rFonts w:ascii="Times New Roman;Times;Serif" w:hAnsi="Times New Roman;Times;Serif"/>
                  <w:b w:val="false"/>
                  <w:i w:val="false"/>
                  <w:caps w:val="false"/>
                  <w:smallCaps w:val="false"/>
                  <w:sz w:val="20"/>
                </w:rPr>
                <w:t>THE OFFERING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890" w:type="dxa"/>
            <w:tcBorders/>
            <w:shd w:fill="FFFFFF" w:val="clear"/>
            <w:vAlign w:val="center"/>
          </w:tcPr>
          <w:p>
            <w:pPr>
              <w:pStyle w:val="TableContents"/>
              <w:bidi w:val="0"/>
              <w:spacing w:before="0" w:after="283"/>
              <w:jc w:val="left"/>
              <w:rPr/>
            </w:pPr>
            <w:hyperlink w:anchor="drs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90" w:type="dxa"/>
            <w:tcBorders/>
            <w:shd w:fill="CCEEFF" w:val="clear"/>
            <w:vAlign w:val="center"/>
          </w:tcPr>
          <w:p>
            <w:pPr>
              <w:pStyle w:val="TableContents"/>
              <w:bidi w:val="0"/>
              <w:spacing w:before="0" w:after="283"/>
              <w:jc w:val="left"/>
              <w:rPr/>
            </w:pPr>
            <w:hyperlink w:anchor="drs_005">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90" w:type="dxa"/>
            <w:tcBorders/>
            <w:shd w:fill="FFFFFF" w:val="clear"/>
            <w:vAlign w:val="center"/>
          </w:tcPr>
          <w:p>
            <w:pPr>
              <w:pStyle w:val="TableContents"/>
              <w:bidi w:val="0"/>
              <w:spacing w:before="0" w:after="283"/>
              <w:jc w:val="left"/>
              <w:rPr/>
            </w:pPr>
            <w:hyperlink w:anchor="drs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90" w:type="dxa"/>
            <w:tcBorders/>
            <w:shd w:fill="CCEEFF" w:val="clear"/>
            <w:vAlign w:val="center"/>
          </w:tcPr>
          <w:p>
            <w:pPr>
              <w:pStyle w:val="TableContents"/>
              <w:bidi w:val="0"/>
              <w:spacing w:before="0" w:after="283"/>
              <w:jc w:val="left"/>
              <w:rPr/>
            </w:pPr>
            <w:hyperlink w:anchor="drs_007">
              <w:r>
                <w:rPr>
                  <w:rStyle w:val="InternetLink"/>
                  <w:rFonts w:ascii="Times New Roman;Times;Serif" w:hAnsi="Times New Roman;Times;Serif"/>
                  <w:b w:val="false"/>
                  <w:i w:val="false"/>
                  <w:caps w:val="false"/>
                  <w:smallCaps w:val="false"/>
                  <w:sz w:val="20"/>
                </w:rPr>
                <w:t>CAPITALIZATION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90" w:type="dxa"/>
            <w:tcBorders/>
            <w:shd w:fill="FFFFFF" w:val="clear"/>
            <w:vAlign w:val="center"/>
          </w:tcPr>
          <w:p>
            <w:pPr>
              <w:pStyle w:val="TableContents"/>
              <w:bidi w:val="0"/>
              <w:spacing w:before="0" w:after="283"/>
              <w:jc w:val="left"/>
              <w:rPr/>
            </w:pPr>
            <w:hyperlink w:anchor="drs_008">
              <w:r>
                <w:rPr>
                  <w:rStyle w:val="InternetLink"/>
                  <w:rFonts w:ascii="Times New Roman;Times;Serif" w:hAnsi="Times New Roman;Times;Serif"/>
                  <w:b w:val="false"/>
                  <w:i w:val="false"/>
                  <w:caps w:val="false"/>
                  <w:smallCaps w:val="false"/>
                  <w:sz w:val="20"/>
                </w:rPr>
                <w:t>DILUTION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90" w:type="dxa"/>
            <w:tcBorders/>
            <w:shd w:fill="CCEEFF" w:val="clear"/>
            <w:vAlign w:val="center"/>
          </w:tcPr>
          <w:p>
            <w:pPr>
              <w:pStyle w:val="TableContents"/>
              <w:bidi w:val="0"/>
              <w:spacing w:before="0" w:after="283"/>
              <w:jc w:val="left"/>
              <w:rPr/>
            </w:pPr>
            <w:hyperlink w:anchor="drs_009">
              <w:r>
                <w:rPr>
                  <w:rStyle w:val="InternetLink"/>
                  <w:rFonts w:ascii="Times New Roman;Times;Serif" w:hAnsi="Times New Roman;Times;Serif"/>
                  <w:b w:val="false"/>
                  <w:i w:val="false"/>
                  <w:caps w:val="false"/>
                  <w:smallCaps w:val="false"/>
                  <w:sz w:val="20"/>
                </w:rPr>
                <w:t>DIVIDEND POLICY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90" w:type="dxa"/>
            <w:tcBorders/>
            <w:shd w:fill="FFFFFF" w:val="clear"/>
            <w:vAlign w:val="center"/>
          </w:tcPr>
          <w:p>
            <w:pPr>
              <w:pStyle w:val="TableContents"/>
              <w:bidi w:val="0"/>
              <w:spacing w:before="0" w:after="283"/>
              <w:jc w:val="left"/>
              <w:rPr/>
            </w:pPr>
            <w:hyperlink w:anchor="drs_010">
              <w:r>
                <w:rPr>
                  <w:rStyle w:val="InternetLink"/>
                  <w:rFonts w:ascii="Times New Roman;Times;Serif" w:hAnsi="Times New Roman;Times;Serif"/>
                  <w:b w:val="false"/>
                  <w:i w:val="false"/>
                  <w:caps w:val="false"/>
                  <w:smallCaps w:val="false"/>
                  <w:sz w:val="20"/>
                </w:rPr>
                <w:t>DESCRIPTION OF COMMON STOCK</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90" w:type="dxa"/>
            <w:tcBorders/>
            <w:shd w:fill="CCEEFF" w:val="clear"/>
            <w:vAlign w:val="center"/>
          </w:tcPr>
          <w:p>
            <w:pPr>
              <w:pStyle w:val="TableContents"/>
              <w:bidi w:val="0"/>
              <w:spacing w:before="0" w:after="283"/>
              <w:jc w:val="left"/>
              <w:rPr/>
            </w:pPr>
            <w:hyperlink w:anchor="drs_011">
              <w:r>
                <w:rPr>
                  <w:rStyle w:val="InternetLink"/>
                  <w:rFonts w:ascii="Times New Roman;Times;Serif" w:hAnsi="Times New Roman;Times;Serif"/>
                  <w:b w:val="false"/>
                  <w:i w:val="false"/>
                  <w:caps w:val="false"/>
                  <w:smallCaps w:val="false"/>
                  <w:sz w:val="20"/>
                </w:rPr>
                <w:t>DESCRIPTION OF SECURITIES WE ARE OFFERING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90" w:type="dxa"/>
            <w:tcBorders/>
            <w:shd w:fill="FFFFFF" w:val="clear"/>
            <w:vAlign w:val="center"/>
          </w:tcPr>
          <w:p>
            <w:pPr>
              <w:pStyle w:val="TableContents"/>
              <w:bidi w:val="0"/>
              <w:spacing w:before="0" w:after="283"/>
              <w:jc w:val="left"/>
              <w:rPr/>
            </w:pPr>
            <w:hyperlink w:anchor="drs_012">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890" w:type="dxa"/>
            <w:tcBorders/>
            <w:shd w:fill="CCEEFF" w:val="clear"/>
            <w:vAlign w:val="center"/>
          </w:tcPr>
          <w:p>
            <w:pPr>
              <w:pStyle w:val="TableContents"/>
              <w:bidi w:val="0"/>
              <w:spacing w:before="0" w:after="283"/>
              <w:jc w:val="left"/>
              <w:rPr/>
            </w:pPr>
            <w:hyperlink w:anchor="drs_013">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FFFFFF" w:val="clear"/>
            <w:vAlign w:val="center"/>
          </w:tcPr>
          <w:p>
            <w:pPr>
              <w:pStyle w:val="TableContents"/>
              <w:bidi w:val="0"/>
              <w:spacing w:before="0" w:after="283"/>
              <w:jc w:val="left"/>
              <w:rPr/>
            </w:pPr>
            <w:hyperlink w:anchor="drs_014">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CCEEFF" w:val="clear"/>
            <w:vAlign w:val="center"/>
          </w:tcPr>
          <w:p>
            <w:pPr>
              <w:pStyle w:val="TableContents"/>
              <w:bidi w:val="0"/>
              <w:spacing w:before="0" w:after="283"/>
              <w:jc w:val="left"/>
              <w:rPr/>
            </w:pPr>
            <w:hyperlink w:anchor="drs_015">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FFFFFF" w:val="clear"/>
            <w:vAlign w:val="center"/>
          </w:tcPr>
          <w:p>
            <w:pPr>
              <w:pStyle w:val="TableContents"/>
              <w:bidi w:val="0"/>
              <w:spacing w:before="0" w:after="283"/>
              <w:jc w:val="left"/>
              <w:rPr/>
            </w:pPr>
            <w:hyperlink w:anchor="drs_016">
              <w:r>
                <w:rPr>
                  <w:rStyle w:val="InternetLink"/>
                  <w:rFonts w:ascii="Times New Roman;Times;Serif" w:hAnsi="Times New Roman;Times;Serif"/>
                  <w:b w:val="false"/>
                  <w:i w:val="false"/>
                  <w:caps w:val="false"/>
                  <w:smallCaps w:val="false"/>
                  <w:sz w:val="20"/>
                </w:rPr>
                <w:t>INCORPORATION OF CERTAIN DOCUMENTS BY REFERENCE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drs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and in any written communication from us or the placement agent, including any free writing prospectus. Neither we nor the placement agent have authorized anyone to provide you with additional or different information. Neither we nor the placement agent are making an offer of these securities in any state where the offer or sale is not permitted. In making an investment decision, prospective investors must rely on their own examination of us and the terms of the offering, including the merits and risks involved. None of Ocean Power Technologies, Inc., the placement agent nor any of their respective representatives is making any representation to you regarding the legality of an investment decision in our common stock by you under applicable laws. You should not assume that the information provided by this prospectus or the documents incorporated by reference in this prospectus is accurate as of any date other than its respective date.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invest in our common stock, you should carefully read this prospectus and the documents incorporated by reference herein. The incorporated documents are described in this prospectus under the headings “Incorporation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are subject to a number of risks and uncertainties, many of which are beyond our control. Please read “Risk Factors” and “Cautionary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industry and market data presented in this prospectus has been derived from data included in various industry publications, surveys and forecasts. We have assumed the correctness and truthfulness of such data, including projections and estimates, when we use them in this prospectus.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3" w:name="drs_002"/>
      <w:bookmarkEnd w:id="3"/>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certain information about us, this offering and information appearing elsewhere in this prospectus and in the documents we incorporate by reference. This summary is not complete and does not contain all of the information that you should consider before investing in our securities. To fully understand this offering and its consequences to you, you should read this entire prospectus carefully, including the information referred to under the heading “Risk Factors” in this prospectus on page 4, and the financial statements and other information incorporated by reference in this prospectus when making an investment decision. In this prospectus, the terms “we,” “us,” and the “company” refer to Ocean Power Technologies, Inc. and its subsidiaries.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hold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we maintain an office at the Association for Uncrewed Vehicle Systems International (AUVSI) headquarters in Washington, D.C., which serves to strengthen our strategic position in the fast-growing uncrewed systems market.</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principal executive offices are located at 28 Engelhard Drive, Suite B, Monroe Township, New Jersey. Our telephone number is (609) 730-0400. We were incorporated in New Jersey in 1984 and reincorporated in Delaware in 2007. We maintain a website at www.oceanpowertechnologies.com where general information about us is available. We are not incorporating the contents of the website into this prospectus.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4" w:name="drs_003"/>
      <w:bookmarkEnd w:id="4"/>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92"/>
        <w:gridCol w:w="60"/>
        <w:gridCol w:w="9053"/>
      </w:tblGrid>
      <w:tr>
        <w:trPr/>
        <w:tc>
          <w:tcPr>
            <w:tcW w:w="10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shares.</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certain purchasers whose purchase of our common stock in this offering would otherwise result in the purchaser, together with its affiliates, beneficially owning more than 4.99% (or, at the election of the purchaser, 9.99%) (the “Beneficial Ownership Limitation”) of our outstanding shares of common stock immediately following the consummation of this offering, the opportunity to purchase pre-funded warrants in lieu of common stock that would otherwise result in any such purchaser’s beneficial ownership exceeding the applicable Beneficial Ownership Limitation. Each pre-funded warrant will be exercisable for one share of common stock. The purchase price of each pre-funded warrant and accompanying common warrant will equal the price at which the common stock and accompanying common warrant are being sold to the public in this offering, minus $0.0001, and the exercise price of each pre-funded warrant will be $0.0001 per share. The pre-funded warrants will be exercisable immediately and may be exercised at any time until exercised in full. For each pre-funded warrant we sell, the number of shares of common stock we are offering will be decreased on a one-for-one basis. This prospectus also relates to the offering of the shares of common stock issuable upon exercise of the pre-funded warrants. For additional information regarding the Pre-Funded Warrants, see “</w:t>
            </w:r>
            <w:r>
              <w:rPr>
                <w:rFonts w:ascii="Times New Roman;Times;Serif" w:hAnsi="Times New Roman;Times;Serif"/>
                <w:b w:val="false"/>
                <w:i/>
                <w:caps w:val="false"/>
                <w:smallCaps w:val="false"/>
                <w:sz w:val="20"/>
              </w:rPr>
              <w:t>Description of Our Capital Stock and Securities We Are Offering</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tc>
      </w:tr>
      <w:tr>
        <w:trPr/>
        <w:tc>
          <w:tcPr>
            <w:tcW w:w="10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up to an aggregate of shares of our common stock (the “common warrant shares”). The common warrants will have an exercise price of $           per share, will be exercisable immediately upon issuance and will expire on the five (5) year anniversary of the initial exercise date. Each share of our common stock is being sold together with one warrant to purchase one share of our common stock. Because we will issue an accompanying warrant to purchase one share of common stock for each share of common stock and for each pre-funded warrant sold in this offering, the number of common warrants sold in this offering will not change as a result of a change in the mix of the shares of our common stock and pre-funded warrants sold in this offering. This prospectus also relates to the offering of the shares of common stock issuable upon exercise of the common warrants. For a further description of the common warrants, see “Description Of Securities We Are Offering – Common Warrants”. This prospectus also relates to the offering of the shares of common stock issuable upon exercise of the common warrants.</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33"/>
        <w:gridCol w:w="60"/>
        <w:gridCol w:w="8012"/>
      </w:tblGrid>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before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shares. </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immediately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shares (assuming the sale of the maximum number of shares of common stock in this offering, at the assumed public offering price of $           , the closing sale price of our common stock on the NYSE on           , 2026, no sale of pre-funded warrants and no exercise of any common warrants).</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net proceeds from this offering will be approximately $           million after deducting placement agent fees and estimated offering expenses.</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general corporate purposes. We may also be required to use a portion of the net proceeds to pay down certain of our indebtedness. However, we will retain broad discretion over how the net proceeds are used. For more, see “Use of Proceeds.”</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cash or other dividends on our common stock, and do not expect to declare or pay any cash or other dividends on our common stock in the foreseeable future.</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carefully the risks discussed under the “Risk Factors” beginning on page 4 of this prospectus, as well as those described in our Annual Report on Form 10-K for the year ended April 30, 2026 and our subsequent SEC filings, and the other disclosures contained or incorporated by reference herein and therein.</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OPTT</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outstanding immediately after this offering is based on 270,138,823 shares of common stock outstanding as of August 26, 2026. This excludes shares issuable upon exercise of the common warrants sold in this offering, as well as outstanding (i) options representing the right to purchase a total of 388,715 shares of common stock at a weighted average exercise price of approximately $1.76 per share as of August 26, 2026, (ii) unvested restricted and performance stock units representing the right to acquire a total of 21,700,951 shares of common stock as of August 26, 2026, and (iii) 25,000,000 shares of common stock issuable upon exercise of certain outstanding warrants.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center"/>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drs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substantial risk. You should carefully consider the risk factors disclosed below as well as those contained in our most recent Annual Report on Form 10-K, which is incorporated by reference herein, as updated by our subsequent filings under the Securities Exchange Act of 1934, as amended (the “Exchange Act”) and the other information contained in this prospectus before acquiring any of our common stock. These risks could have a material adverse effect on our business, results of operations or financial condition and cause the value of our common stock to decline. You could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also contains or incorporates by reference forward-looking statements that involve risks and uncertainties. Our actual results could differ materially from those anticipated in the forward-looking statements as a result of certain factors, including the risks faced by us described or incorporated by reference in this prospectus. See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Historically, our stock price has been volatile, and this is likely to continue; purchasers of our securities could incur substantial losses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market price of our common stock has fluctuated significantly, and we expect that this will continue. Purchasers of our securities could incur substantial losses relating to their investment in our stock as a result.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securities to incur substantial losses. The market price for our common stock may be influenced by many factors,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our business or with respect to our projects;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products or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patents or other proprietary rights;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or annual variations in our financial results or those of companies that are perceived to be similar to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conventional and renewable energy industries and issuance of new or changed securities analysts’ reports or recommendations;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securities analysts to cover our common stock or changes in financial estimates by analysts;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the financial estimates of analysts who follow our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perception of our company and of our targeted markets;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 efforts” offering. No minimum amount of securities is required to be sold, and we may not raise the amount of capital we believe is required for our business plans, including our near-term business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has agreed to use their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on the cover page of this prospectus.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valuation of our business may fluctuate due to factors beyond our control and the value of the investment of our stockholders may fluctuate correspondingly.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valuation of energy companies, such as us, frequently fluctuate due to factors unrelated to the past or present operating performance of such companies. Our market valuation may fluctuate significantly in response to a number of factors, many of which are beyond our control,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securities analysts’ estimates of our financial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 market prices and volumes, particularly among securities of energy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similar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contracts, new technologies, acquisitions, commercial relationships, joint ventures or capital commitments;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operating results;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major customer of failure to complete significant commercial contracts;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relationship with a partner;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value of your investment may fluctuate.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proceeds from this offering and may not use the proceeds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as to the application of the net proceeds from this offering and could spend the proceeds in a variety of ways that may ultimately fail to improve our operating results or enhance the value of our common stock. Our failure to apply these funds effectively could have a negative effect on our business and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large number of securities may be sold in the market following this offering, which may depress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shares of common stock sold in this offering, or issuable upon exercise of the warrants sold in this offering, will be freely tradable without restriction or further registration under the Securities Act of 1933, as amended (the “Securities Act”). As a result, a substantial number of our shares of common stock may be sold in the public market following this offering, which may cause the market price of our common stock to decline. If there are more shares of common stock offered for sale than buyers are willing to purchase, then the market price of our common stock may decline to a market price at which buyers are willing to purchase the offered shares of common stock and sellers remain willing to sell the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dilution in the net tangible book value per share of the common stock you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per share of our common stock being offered is substantially higher than the net tangible book value per share of our outstanding common stock, and accordingly investors in this offering will experience immediate and substantial dilution. Based on an assumed public offering price of $         per share of our common stock and accompanying common warrant, if you purchase securities in this offering you will experience immediate dilution of approximately $          per share, representing the difference between our as adjusted net tangible book value per share after giving effect to this offering as of April 30, 2026 and the assumed public offering price of $          per share and accompanying common warrant.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warrants are speculative in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offered hereby do not confer any rights of common stock ownership on their holders, such as voting rights or the right to receive dividends, but rather merely represent the right to acquire shares of common stock at a fixed price. Specifically, commencing on the date of issuance, holders of the warrants may exercise their right to acquire the common stock and pay an exercise price of $            . There can be no assurance that the market price of the common stock will ever equal or exceed the exercise price of the warrants, and consequently, whether it will ever be profitable for holders of the warrants to exercise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warrants will have no rights as a common stockholder until they acquire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you acquire shares of our common stock upon exercise of your warrants, you will have no rights with respect to shares of our common stock issuable upon exercise of your warrant. Upon exercise of your warrant, you will be entitled to exercise the rights of a common stockholder as to the security exercised only as to matters for which the record date occurs after the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established market for the warrants to purchase shares of our common stock being offered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the warrants and we do not expect a market to develop. In addition, we do not intend to apply for the listing of the warrants on any national securities exchange or other trading market. Without an active trading market, the liquidity of the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price of the warrants offered by this prospectus will not be adjusted for dilutive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warrants offered by this prospectus is subject to adjustment for certain events, such as stock splits. However, the exercise prices will not be adjusted for dilutive issuances of securities including capital stock, options, and convertible securities, which may adversely affect the market price of our common stock or the market value of such warrants without resulting in an adjustment of the exercise prices of such warrants.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drs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in this prospectus, our filings with the SEC and our public releases include “forward-looking statements” within the meaning of Section 27A of the Securities Act, and Section 21E of the Exchange Act, the Private Securities Litigation Reform Act of 1995 (the “PSLRA”), or in releases made by the SEC. Such forward-looking statements involve known and unknown risks, uncertainties and other important factors that could cause the actual results, performance or achievements of us and our subsidiaries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“will,”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or incorporated by reference into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the conflicts between the United States, Israel and Iran, Russia’s invasion of Ukraine, the Israel/Palestine conflict, current events in Venezuela and previous attacks on merchant ships in the Red Sea;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our ability to control or predict. These factors are not intended to represent a complete list of the general or specific factors that may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management’s assumptions about future events may prove to be inaccurate. All readers are cautioned that the forward-looking statements contained in this prospectus in the documents incorporated by reference into this prospectus are not guarantees of future performance, and we cannot assure any reader that such statements will be realized or that the forward-looking events and circumstances will occur. Actual results may differ materially from those anticipated or implied in the forward-looking statements due to factors described in “Risk Factors” included elsewhere in this prospectus and in the documents that we include in or incorporate by reference into this prospectus, including our Annual Report on Form 10-K for the fiscal year ended April 30, 2026, and our subsequent SEC filings. All forward-looking statements speak only as of the date they are made. We do not intend to update or revise any forward-looking statements as a result of new information, future events or otherwise, except as required by law. These cautionary statements qualify all forward-looking statements attributable to us or persons acting on our behalf.</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drs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net proceeds to be received by us from this offering are expected to be approximately $          million, after deducting fees and estimated offering expenses, assuming no sale of pre-funded warrants and no exercise of the common warrants. We will only receive additional proceeds of $          from the exercise of the common warrants issuable in connection with this offering if such common warrants are exercised for cash at their exercise price of $           and the holders of such common warrants do not utilize the cashless exercise provision of the common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because this is a best 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general corporate purposes. The Series C-1 Senior Convertible Notes issued April 1, 2026 include a requirement, at the option of the holders of such notes, to use up to 30% of the net proceeds of any capital raise transaction, including this offering, to pay down amounts outstanding under such notes. These notes bear interest at an interest rate of 4.5% per annum and mature on October 1, 2027. We cannot predict whether the holders will require this repayment.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these expenditures will depend on a number of factors, such as the timing, scope, progress and results of our research and development efforts, the timing and progress of any partnering efforts, and the regulatory and competitive environment. As of the date of this prospectus, we have not determined the amount of net proceeds to be used specifically for any particular purpose or the timing of any expenditures. Accordingly, management will retain broad discretion and flexibility in applying the net proceeds from the sale of the securities, if any. Pending any use of the net proceeds from this offering, if any, we intend to deposit the proceeds in checking or money market accounts, or invest in short term highly rated investments, at financial institutions.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drs_007"/>
      <w:bookmarkEnd w:id="8"/>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April 30, 2026 on:</w:t>
      </w:r>
    </w:p>
    <w:p>
      <w:pPr>
        <w:pStyle w:val="TextBody"/>
        <w:bidi w:val="0"/>
        <w:spacing w:before="0" w:after="0"/>
        <w:ind w:left="14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actual basis;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to give effect to this offering, assuming no sale of pre-funded warrants and no exercise of the warrants, after deducting estimated placement agent fees and estimated offering expenses payable by us.</w:t>
            </w:r>
          </w:p>
        </w:tc>
      </w:tr>
    </w:tbl>
    <w:p>
      <w:pPr>
        <w:pStyle w:val="TextBody"/>
        <w:bidi w:val="0"/>
        <w:spacing w:before="0" w:after="0"/>
        <w:ind w:left="14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0"/>
        <w:gridCol w:w="60"/>
        <w:gridCol w:w="145"/>
        <w:gridCol w:w="914"/>
        <w:gridCol w:w="99"/>
        <w:gridCol w:w="62"/>
        <w:gridCol w:w="202"/>
        <w:gridCol w:w="785"/>
        <w:gridCol w:w="78"/>
      </w:tblGrid>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April 30, 2026</w:t>
            </w:r>
          </w:p>
        </w:tc>
        <w:tc>
          <w:tcPr>
            <w:tcW w:w="78" w:type="dxa"/>
            <w:tcBorders/>
            <w:vAlign w:val="center"/>
          </w:tcPr>
          <w:p>
            <w:pPr>
              <w:pStyle w:val="TableContents"/>
              <w:bidi w:val="0"/>
              <w:spacing w:before="0" w:after="283"/>
              <w:jc w:val="left"/>
              <w:rPr/>
            </w:pPr>
            <w:r>
              <w:rPr/>
              <w:t> </w:t>
            </w:r>
          </w:p>
        </w:tc>
      </w:tr>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Actual</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Adjusted</w:t>
            </w:r>
            <w:r>
              <w:rPr>
                <w:rFonts w:ascii="Times New Roman;Times;Serif" w:hAnsi="Times New Roman;Times;Serif"/>
                <w:b/>
                <w:position w:val="7"/>
                <w:sz w:val="16"/>
                <w:sz w:val="20"/>
              </w:rPr>
              <w:t>(1)</w:t>
            </w:r>
          </w:p>
        </w:tc>
        <w:tc>
          <w:tcPr>
            <w:tcW w:w="78" w:type="dxa"/>
            <w:tcBorders/>
            <w:vAlign w:val="center"/>
          </w:tcPr>
          <w:p>
            <w:pPr>
              <w:pStyle w:val="TableContents"/>
              <w:bidi w:val="0"/>
              <w:spacing w:before="0" w:after="283"/>
              <w:jc w:val="left"/>
              <w:rPr/>
            </w:pPr>
            <w:r>
              <w:rPr/>
              <w:t> </w:t>
            </w:r>
          </w:p>
        </w:tc>
      </w:tr>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per share amounts)</w:t>
            </w:r>
          </w:p>
        </w:tc>
        <w:tc>
          <w:tcPr>
            <w:tcW w:w="78" w:type="dxa"/>
            <w:tcBorders/>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liabilities and other</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27,244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current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27,447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par value $0.001 per share, 400,000,000 shares authorized; 231,145,998 shares issued (actual); 228,460,085 outstanding (actual);         shares issued and shares outstanding, (as adjusted)</w:t>
            </w:r>
            <w:r>
              <w:rPr>
                <w:rFonts w:ascii="Times New Roman;Times;Serif" w:hAnsi="Times New Roman;Times;Serif"/>
                <w:position w:val="7"/>
                <w:sz w:val="16"/>
                <w:sz w:val="20"/>
              </w:rPr>
              <w:t xml:space="preserve">(2)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36,000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at cost: 2,685,913 (actual);          (as adjusted)</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(1,825</w:t>
            </w:r>
          </w:p>
        </w:tc>
        <w:tc>
          <w:tcPr>
            <w:tcW w:w="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395,031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(380,961</w:t>
            </w:r>
          </w:p>
        </w:tc>
        <w:tc>
          <w:tcPr>
            <w:tcW w:w="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capitalization</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ind w:left="144"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excludes the following events, subsequent to April 30, 2026: (i) the issuance of 5,963,890 shares of our common stock in our “at-the-market” offering and our receipt of approximately $1.4 million in net proceeds in connection therewith, (ii) the issuance of 25,000,000 shares of our common stock and warrants exercisable for 25,000,000 shares of our common stock in a registered direct offering in June 2026, and (iii) the issuance of 10,984,848 shares of our common stock in connection with the acquisition of Columbia Power Technologies, Inc. in July 2026.</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drs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you will experience dilution to the extent of the difference between the public offering price you pay in this offering and the net tangible book value per share of our common stock immediately after this offering. Our net tangible book value as of April 30, 2026 was approximately $0.6 million. Net tangible book value per share is determined by dividing our total tangible assets, less total liabilities, by the number of outstanding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April 30, 2026 was approximately $11.3 million or $0.04 per share. Pro forma net tangible book value represents net tangible book value adjusted to take into account the following events, subsequent to April 30, 2026: (i) the issuance of 5,963,890 shares of our common stock in our “at-the-market” offering and our receipt of approximately $1.4 million in net proceeds in connection therewith, (ii) the issuance of 25,000,000 shares of our common stock and warrants exercisable for 25,000,000 shares of our common stock in a registered direct offering in June 2026, and (iii) the issuance of 10,984,848 shares of our common stock in connection with the acquisition of Columbia Power Technologies, Inc. in July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pro forma adjustments described in the preceding sentence and the sale of         shares of common stock by us at an assumed combined public offering price of $         per share of common stock and accompanying common warrant and after deducting our estimated offering expenses payable by us (assuming no sale of pre-funded warrants and excluding any cash to be received upon exercise of the common warrants), our pro forma as-adjusted net tangible book value as of April 30, 2026 would have been approximately $         million, or approximately $ per share. This represents an immediate increase in net tangible book value of approximately $         per share to our existing stockholders and an immediate dilution in as adjusted net tangible book value of approximately $         per share to new investors purchasing securities in this offering. Dilution per share to new investors is determined by subtracting the pro forma as adjusted net tangible book value per share of common stock after this offering from the combined public offering price per share of common stock and accompanying common warrant paid by new investors in this offering. The following table illustrates this calculation on a per share basis:</w:t>
      </w:r>
    </w:p>
    <w:p>
      <w:pPr>
        <w:pStyle w:val="TextBody"/>
        <w:bidi w:val="0"/>
        <w:spacing w:before="0" w:after="0"/>
        <w:ind w:left="0" w:right="0" w:firstLine="720"/>
        <w:jc w:val="both"/>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8090"/>
        <w:gridCol w:w="60"/>
        <w:gridCol w:w="140"/>
        <w:gridCol w:w="420"/>
        <w:gridCol w:w="60"/>
        <w:gridCol w:w="60"/>
        <w:gridCol w:w="140"/>
        <w:gridCol w:w="60"/>
        <w:gridCol w:w="75"/>
      </w:tblGrid>
      <w:tr>
        <w:trPr/>
        <w:tc>
          <w:tcPr>
            <w:tcW w:w="80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offering price per share of common stock and accompanying common warrant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Historical net tangible book value per share as of April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2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 forma net tangible book value per share as of April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 in pro forma net tangible book value per share attributable to new investors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 forma as adjusted net tangible book value per share after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Dilution per share to new investors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increase in the assumed combined public offering price to $         per share and accompanying common warrant, would increase our as adjusted net tangible book value as of April 30, 2026, after giving effect to this offering, by approximately $         and the dilution to our as adjusted net tangible book value per share to new investors in this offering by $         per share, assuming the number of shares of common stock and accompanying common warrant offered by us, as set forth on the cover of this prospectus, remains the same, and after deducting the placement agent fees and estimated offering expenses payable by us, assuming no exercise of the common warrants and no sale of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discussion above are based on 228,460,085 shares of our common stock outstanding as of April 30, 2026 and excludes outstanding (i) options representing the right to purchase a total of 396,179 shares of common stock at a weighted average exercise price of approximately $1.83 per share as of April 30, 2026, and (ii) unvested restricted and performance stock units representing the right to acquire a total of 23,962,673 shares of common stock as of April 30, 2026. To the extent that the outstanding stock options may be exercised or other shares issued, investors purchasing our common stock in this offering will experience further dilution. In the event we need to raise additional capital in the future and we issue additional equity securities, our then existing stockholders may also experience dilution.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drs_009"/>
      <w:bookmarkEnd w:id="10"/>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and will depend on a number of factors, including future earnings, capital requirements, financial conditions, future prospects, contractual restrictions and covenants and other factors that our Board may deem relevant.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drs_010"/>
      <w:bookmarkEnd w:id="11"/>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and Outstanding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common stock and provisions of our certificate of incorporation, as amended (the “certificate of incorporation”) and amended and restated bylaws (the “bylaws”) are summaries and are qualified by reference to our certificate of incorporation and bylaws, which have been incorporated by reference as exhibits to the registration statement of which this prospectus supplement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400,000,000 shares of common stock, par value $0.001 per share, and 5,000,000 shares of preferred stock, par value $0.001 per share, 700,000 of which are designated as Series A Participating Preferred Stock which may be issued upon the exercise of the preferred stock purchase rights described below under “Amended and Restated Section 382 Tax Benefits Preservation Plan”. On July 11, 2023, we issued preferred stock purchase rights which are attached to our common stock in connection with our adoption of a Section 382 Tax Benefits Preservation Plan, which was amended and restated on June 29, 2026 as described below under “-Amended and Restated Section 382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26, 2026, there were 270,138,823 shares of common stock outstanding, and no shares of preferred stock were issued or outstanding. This excludes, as of August 26, 2026, outstanding (i) options representing the right to purchase a total of 388,715 shares of common stock at a weighted average exercise price of approximately $1.76 per share, (ii) unvested restricted and performance stock units representing the right to acquire a total of 21,700,951 shares of common stock, and (iii) 25,000,000 shares of common stock issuable upon exercise of certain 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40" w:right="0" w:firstLine="6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that may be declared by our board of directors (“Board”), subject to any preferential dividend rights of outstanding preferred stock.</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Distribution</w:t>
      </w:r>
      <w:r>
        <w:rPr>
          <w:rFonts w:ascii="Times New Roman;Times;Serif" w:hAnsi="Times New Roman;Times;Serif"/>
          <w:b w:val="false"/>
          <w:i w:val="false"/>
          <w:caps w:val="false"/>
          <w:smallCaps w:val="false"/>
          <w:sz w:val="20"/>
        </w:rPr>
        <w:t>.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Effects of Delaware Law, Our Certificate of Incorporation and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our certificate of incorporation, including the terms of the Series A Participating Preferred Stock,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pStyle w:val="TextBody"/>
        <w:bidi w:val="0"/>
        <w:spacing w:before="0" w:after="0"/>
        <w:ind w:left="40" w:right="0" w:firstLine="6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provides that directors may be removed only for cause and only by the affirmative vote of the holders of 75% of our shares of capital stock entitled to vote. However, our Board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Ninth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our Board, including a vacancy resulting from an enlargement of our Board, may be filled only by vote of a majority of our directors then in office.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ability of our stockholders to remove directors and fill vacancies could make it more difficult for a third party to acquire, or discourage a third party from seeking to acquire, control of us.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by Written Consent;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our Board, our chief executive officer, our president or our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Business Combination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0" w:after="0"/>
        <w:ind w:left="40" w:right="0" w:firstLine="6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 The tax benefits preservation plan was amended and restated on June 29, 2026 to among other things extend the life of the plan through June 29,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OPT’s common stock. Accordingly, there can be no assurance that the tax benefits preservation plan will prevent an “ownership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our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amended and restated, the preferred stock purchase rights and the tax benefits preservation plan will expire no later than June 29, 2029.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or the affirmative vote of the holders of at least 75% of the voting power of our capital stock issued and outstanding and entitled to vote on the matter.</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of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before="0" w:after="0"/>
        <w:ind w:left="0" w:right="0" w:hanging="0"/>
        <w:jc w:val="center"/>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their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acts or omissions not in good faith or that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voting or assenting to unlawful payments of dividends or other distributions;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derived an improper personal benefit.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Notice of Share Ownership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drs_011"/>
      <w:bookmarkEnd w:id="12"/>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offering, we are offering up to           shares of our common stock and pre-funded warrants to purchase shares of common stock and common warrants to purchase up to          shares of our common stock. For each pre-funded warrant we sell, the number of shares of common stock we are offering will be decrease on a one-for-one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shares of our common stock issuable from time to time upon exercise of the pre-funded warrants and common warrants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common stock and each other class of our securities which qualifies or limits our common stock are described under the caption “Description of Common Stock”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pre-funded warrants that are being offered hereby is not complete and is subject to, and qualified in its entirety by the provisions of the pre-funded warrants. Prospective investors should carefully review the terms and provisions of the form of the pre-funded warrants for a complete description of the terms and conditions.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offered hereby will entitle the holders thereof to purchase up to an aggregate of shares of common stock at an initial exercise price of $0.0001 per share of common stock.</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exercisable immediately upon issuance and will expire when exercised in full.</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issued in certificated form. The exercise price is subject to appropriate adjustment upon certain subdivisions or combinations of the common stock or a common stock distribution or dividend payable in shares of common stock.</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exercisable immediately upon issuance and will expire when exercised in full. 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No fractional shares of common stock will be issued in connection with the exercise of a pre-funded warrant. In lieu of fractional shares, at our option, we will pay the holder an amount in cash equal to the fractional amount multiplied by the exercise price or round up to the next whole share.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Limitation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exercise any portion of the pre-funded warrants to the extent that the holder, together with its affiliates and any other person or entity acting as a group, would own more than 4.99% (or 9.99% if initially requested by a holder) of the outstanding shares of common stock after exercise, except that upon at least 61 days’ prior notice from the holder to us, the holder may increase the amount of ownership of outstanding shares after exercising the holder’s pre-funded warrants to up to 9.99% of the number of our shares of common stock outstanding immediately after giving effect to the exercise, as such percentage ownership is determined in accordance with the terms of the pre-funded warrants.</w:t>
      </w:r>
    </w:p>
    <w:p>
      <w:pPr>
        <w:pStyle w:val="TextBody"/>
        <w:bidi w:val="0"/>
        <w:spacing w:before="0" w:after="0"/>
        <w:ind w:left="0" w:right="0" w:firstLine="816"/>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pre-funded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the restriction on transfer set forth in the pre-funded warrants, the pre-funded warrants may be transferred at the option of the holder upon surrender of the pre-funded warrants to us together with the appropriate instruments of transfer.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Listing</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and we do not expect a market to develop. We do not intend to apply to list the pre-funded warrants on any securities exchange. Without an active market, the liquidity of the pre-funded warrants will be limited. In addition, in the event the price of our common stock does not exceed the per share exercise price of the pre-funded warrants during the period when the pre-funded warrants are exercisable, the pre-funded warrants will not have any value.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Rata Distributions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while the pre-funded warrants are outstanding, we declare or make any dividend of our assets (or right to acquire our assets) to the holders of shares of Common Stock, by way of return of capital or otherwise (a “Distribution”), then holders of the pre-funded warrants shall be entitled to participate in such Distribution to the same extent that the holder of the pre-funded warrants would have participated had such holder held the number of shares of Common Stock acquirable upon complete exercise of the pre-funded warrants (without regard to the beneficial ownership limitation unless such distribution would cause the holder to exceed such limitation).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In the event of a fundamental transaction, we are required to cause any successor entity to assume all of our obligations under the pre-funded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as a Stockholder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pre-funded warrant does not generally have the rights or privileges of a holder of our common stock, including any voting rights, until it exercises his, her or its pre-funded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common warrants that are being offered hereby is not complete and is subject to, and qualified in its entirety by the provisions of the common warrants. Prospective investors should carefully review the terms and provisions of the form of the common warrants for a complete description of the terms and conditions.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w:t>
      </w:r>
    </w:p>
    <w:p>
      <w:pPr>
        <w:pStyle w:val="TextBody"/>
        <w:bidi w:val="0"/>
        <w:spacing w:before="0" w:after="0"/>
        <w:ind w:left="0" w:right="0" w:firstLine="816"/>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offered hereby will entitle the holders thereof to purchase up to an aggregate of           shares of common stock at an initial exercise price of $         per share of common stock.</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exercisable immediately upon issuance and will expire on the five (5) year anniversary of the initial exercise date.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issued in certificated form. The exercise price is subject to appropriate adjustment upon certain subdivisions or combinations of the common stock or a common stock distribution or dividend payable in shares of common stock.</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exercisable immediately upon issuance and will expire on the five (5) year anniversary of the initial exercise date, after which time holders of the common warrants will have no further rights to exercise the common warrants. The common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No fractional shares of common stock will be issued in connection with the exercise of a common warrant. In lieu of fractional shares, at our option, we will pay the holder an amount in cash equal to the fractional amount multiplied by the exercise price or round up to the next whole share.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Limitation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exercise any portion of the common warrants to the extent that the holder, together with its affiliates and any other person or entity acting as a group, would own more than 4.99% (or 9.99% if initially requested by a holder) of the outstanding shares of common stock after exercise, except that upon at least 61 days’ prior notice from the holder to us, the holder may increase the amount of ownership of outstanding shares after exercising the holder’s common warrants to up to 9.99% of the number of our shares of common stock outstanding immediately after giving effect to the exercise, as such percentage ownership is determined in accordance with the terms of the common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common warrants there is no effective registration statement registering, or the prospectus contained therein is not available for an issuance of the shares underlying the common warrants to the holder, then 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common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the restriction on transfer set forth in the common warrants, the common warrants may be transferred at the option of the holder upon surrender of the common warrants to us together with the appropriate instruments of transfer.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Listing</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common warrants, and we do not expect a market to develop. We do not intend to apply to list the common warrants on any securities exchange. Without an active market, the liquidity of the common warrants will be limited. In addition, in the event the price of our common stock does not exceed the per share exercise price of the common warrants during the period when the common warrants are exercisable, the common warrants will not have any value.</w:t>
      </w:r>
    </w:p>
    <w:p>
      <w:pPr>
        <w:pStyle w:val="TextBody"/>
        <w:bidi w:val="0"/>
        <w:spacing w:before="0" w:after="0"/>
        <w:ind w:left="0" w:right="0" w:firstLine="816"/>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Rata Distributions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while the common warrants are outstanding, we declare or make any dividend of our assets (or right to acquire our assets) to the holders of shares of Common Stock, by way of return of capital or otherwise (a “Distribution”), then holders of the common warrants shall be entitled to participate in such Distribution to the same extent that the holder of the common warrants would have participated had such holder held the number of shares of Common Stock acquirable upon complete exercise of the common warrants (without regard to the beneficial ownership limitation unless such distribution would cause the holder to exceed such limitation).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common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holders of the common warrants will be entitled to receive upon exercise of the common warrants the kind and amount of securities, cash or other property that the holders would have received had they exercised the common warrants immediately prior to such fundamental transaction without regard to any limitations on exercise contained in the common warrants. In the event of a fundamental transaction, we are required to cause any successor entity to assume all of our obligations under the common warrants. Notwithstanding the foregoing, in the event of a fundamental transaction, the holders of the common warrants will have the right to require us or a successor entity to purchase the common warrant for cash in the amount of the Black Scholes Value (as defined in the common warrant) of the unexercised portion of the common warrants concurrently with or within 30 days following the consummation of a fundamental transaction. However, in the event of a fundamental transaction which is not in our control, including a fundamental transaction not approved by our board of directors, the holders of the common warrants will only be entitled to receive from us or our successor entity, as of the date of consummation of such fundamental transaction, the same type or form of consideration (and in the same proportion), at the Black Scholes Value of the unexercised portion of the common warrant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as a Stockholder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common warrant does not generally have the rights or privileges of a holder of our common stock, including any voting rights, until it exercises his, her or its common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drs_012"/>
      <w:bookmarkEnd w:id="1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engagement letter agreement dated         , 2026, we have engaged            , referred to herein as the placement agent, to act as our exclusive placement agent in connection with this offering. Under the terms of the engagement letter, The placement agent is not purchasing the securities offered by us in this offering, and is not required to sell any specific number or dollar amount of securities, but will assist us in this offering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this offering were subject to market conditions and negotiations between us, the placement agent and prospective investors. Under the terms of the engagement letter, the placement agent has no authority to bind us. The placement agent may engage sub-agents or selected dealers to assist with this offering. This is a best efforts offering and there is no minimum amount of proceeds that is a condition to closing of this offering. We might not sell the entire amount of our shares of Common Stock offered pursuant to this prospectus. Investors purchasing securities offered hereby will have the option to execute a securities purchase agreement with us. In addition to rights and remedies available to all purchasers in this offering under federal securities and state law, the purchasers which enter into a securities purchase agreement will also be able to bring claims of breach of contract against us. The placement agent may engage one or more sub-agents or selected dealers in connection with the offering. The ability to pursue a claim for breach of contract is material to larger purchasers in this offering as a means to enforce the following covenants uniquely available to them under the securities purchase agreement: (i) a covenant to not enter into variable rate financings for a period of one year following the closing of the offering, subject to an exception; and (ii) a covenant to not enter into any equity financings for days from closing of the offering,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representations, warranties and covenants in the securities purchase agreement will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and customary issuer representations and warranties on matters such as due organization, qualification, authorization, no conflict, no governmental filings required, currentness and accuracy of SEC filings, absence of litigation, labor or other compliance issues, environmental, intellectual property and title matters and compliance with various laws such as the Foreign Corrupt Practices Act;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regarding matters such as registration of the offering of the warrant shares, the filing of a Current Report on Form 8-K to disclose entering into these securities purchase agreements, the providing of material nonpublic information, use of proceeds, indemnification of purchasers, reservation and listing of common stock, and prohibitions on subsequent equity sales for           days, subject to certain exceptions.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offered hereby is expected to take place on or about         , 2026, subject to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per share and total cash fees we will pay to the placement agent in connection with the sale of our securities offered pursuant to this prospectus, assuming the purchase of all of the securities offered hereby.</w:t>
      </w:r>
    </w:p>
    <w:p>
      <w:pPr>
        <w:pStyle w:val="TextBody"/>
        <w:bidi w:val="0"/>
        <w:spacing w:before="0" w:after="0"/>
        <w:ind w:left="0" w:right="0" w:hanging="0"/>
        <w:jc w:val="left"/>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3125"/>
        <w:gridCol w:w="60"/>
        <w:gridCol w:w="210"/>
        <w:gridCol w:w="1085"/>
        <w:gridCol w:w="60"/>
        <w:gridCol w:w="60"/>
        <w:gridCol w:w="210"/>
        <w:gridCol w:w="1085"/>
        <w:gridCol w:w="60"/>
        <w:gridCol w:w="60"/>
        <w:gridCol w:w="140"/>
        <w:gridCol w:w="720"/>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Per Share</w:t>
              <w:br/>
              <w:t>and</w:t>
              <w:br/>
            </w:r>
            <w:r>
              <w:rPr>
                <w:rFonts w:ascii="Times New Roman;Times;Serif" w:hAnsi="Times New Roman;Times;Serif"/>
                <w:b/>
                <w:sz w:val="20"/>
              </w:rPr>
              <w:t>Accompanying</w:t>
            </w:r>
          </w:p>
          <w:p>
            <w:pPr>
              <w:pStyle w:val="TableContents"/>
              <w:bidi w:val="0"/>
              <w:jc w:val="center"/>
              <w:rPr>
                <w:rFonts w:ascii="Times New Roman;Times;Serif" w:hAnsi="Times New Roman;Times;Serif"/>
                <w:b/>
              </w:rPr>
            </w:pPr>
            <w:r>
              <w:rPr>
                <w:rFonts w:ascii="Times New Roman;Times;Serif" w:hAnsi="Times New Roman;Times;Serif"/>
                <w:b/>
              </w:rPr>
              <w:t>Common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w:t>
              <w:br/>
              <w:t>Pre-Funded</w:t>
              <w:br/>
              <w:t>Warrant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Accompanying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offering price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fees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this offering, we will pay the placement agent a cash fee equal to 6.0% of the aggregate gross proceeds to us from the sale of the securities in the offering. We have also agreed to reimburse the placement agent up to $100,000 for expenses of legal counsel and clearing expenses of $15,950. We estimate the total expenses of this offering, which will be payable by us, excluding the placement agent fees and expenses, will be approximately $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each of our officers and directors have agreed to be subject to a lock-up period of         days following the closing of this offering. This means that, during the applicable lock-up period, subject to certain exceptions, we may not issue, enter into an agreement to issue or announce the issuance or proposed issuance of the shares or any other securities convertible into, or exercisable or exchangeable for, shares of common stock, and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The placement agent may, in its sole discretion and without notice, waive the terms of any of these lock-up agreements. We have also agreed for one year following the closing date to not issue any shares of common Stock or common stock equivalents in a Variable Rate Transaction (as defined in the securities purchase agreement), subject to certain exceptions. The placement agent may, in its sole discretion and without notice, waive the terms of this prohibition.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12 months following the expiration or termination of the engagement of the placement agent, we shall pay the placement agent the cash compensation provided above, calculated in the same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or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placement agent or its affiliates have provided and may provide in the future various advisory, investment and commercial banking and other services to us in the ordinary course of business, for which they have received and may continue to receive customary fees and commissions. However, except as disclosed in this prospectus, we have no present arrangements with the placement agent for any further services. Except as disclosed in this prospectus, we have no present arrangements with the placement agent for any further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drs_013"/>
      <w:bookmarkEnd w:id="1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securities offered hereby will be passed on for us by Porter Hedges LLP, Houston, Texas.             is acting as counsel for the placement agent in connection with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drs_014"/>
      <w:bookmarkEnd w:id="15"/>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Ocean Power Technologies, Inc. and subsidiaries (the Company) incorporated by reference from the Annual Report on Form 10-K of the Company for the year ended April 30, 2026 have been audited by Baker Tilly US, LLP, an independent registered public accounting firm, as stated in their report (which report expresses an unqualified opinion and includes an explanatory paragraph relating to a going concern uncertainty) which is incorporated herein by reference. Such consolidated financial statements have been so incorporated in reliance upon the report of such firm given their authority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drs_015"/>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These documents contain specific information regarding us. These documents, including exhibits and schedules thereto, may be inspected without charge at the SEC’s principal office in Washington, D.C., and copies of all or any part thereof may be obtained from the Public Reference Section of the SEC, 100 F Street, N.E., Washington, D.C. 20549. Information on the operation of the Public Reference Section may be obtained by calling the SEC at 1-800-SEC-0330. The SEC also maintains a website which provides online access to reports, proxy and information statements and other information regarding registrants that file electronically with the SEC at the address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ticker symbol “OPTT.” Our SEC filings are also available (free of charge) from our web site at www.oceanpowertechnologies.com, including our annual reports on Form 10-K, quarterly reports on Form 10-Q, and current reports on Form 8-K and any amendments to those reports. Information contained on our website or any other website is not incorporated by reference into this prospectus and does not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drs_016"/>
      <w:bookmarkEnd w:id="17"/>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previously been filed by us with the SEC under the Exchange Act,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April 30, 2026, filed with the SEC on August 19, 2026 (File No. 001-33417);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8-K and Form 8-K/A, filed with the SEC on </w:t>
      </w:r>
      <w:hyperlink r:id="rId4">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21,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9,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June 29,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23,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27,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August 5,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August 17, 2026</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August 19, 2026</w:t>
        </w:r>
      </w:hyperlink>
      <w:r>
        <w:rPr>
          <w:rFonts w:ascii="Times New Roman;Times;Serif" w:hAnsi="Times New Roman;Times;Serif"/>
          <w:b w:val="false"/>
          <w:i w:val="false"/>
          <w:caps w:val="false"/>
          <w:smallCaps w:val="false"/>
          <w:sz w:val="20"/>
        </w:rPr>
        <w:t xml:space="preserve"> (File No. 001-33417) (excluding any information furnished pursuant to Item 2.02 or Item 7.01 of any such Current Report on Form 8-K);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common stock set forth in our registration statement on </w:t>
      </w:r>
      <w:hyperlink r:id="rId1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April 18, 2007 (File No. 001-33417) and in any and all subsequent amendments and reports filed for the purpose of updating that description.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(excluding any information furnished pursuant to Item 2.02 or Item 7.01 on any current report on Form 8-K and any corresponding information furnished under Item 9.01 or included as an exhibit) after the date of the initial registration statement of which this prospectus forms a part and until the offering of all of the securities by this prospectus is completed, including all filings made after the date of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these filings, other than any exhibits, unless the exhibits are specifically incorporated by reference into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br/>
        <w:t>28 Engelhard Drive, Suite B</w:t>
        <w:br/>
        <w:t>Monroe Township, NJ 08831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br/>
        <w:t>(609) 730-0400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SEC’S POSITION ON</w:t>
        <w:br/>
        <w:t>INDEMNIFICATION FOR SECURITIES ACT LIABILITY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Pre-Funded Warrants to Purchase 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Warrants to Purchase 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Shares of Common Stock Issuable Upon Exercise of Pre-Funded Warrants and Common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r>
        <w:rPr>
          <w:rFonts w:ascii="Times New Roman;Times;Serif" w:hAnsi="Times New Roman;Times;Serif"/>
          <w:b/>
          <w:i w:val="false"/>
          <w:caps/>
          <w:sz w:val="20"/>
        </w:rPr>
        <w:t>, 2026</w:t>
      </w:r>
    </w:p>
    <w:p>
      <w:pPr>
        <w:pStyle w:val="TextBody"/>
        <w:bidi w:val="0"/>
        <w:spacing w:before="0" w:after="0"/>
        <w:ind w:left="0" w:right="0" w:hanging="0"/>
        <w:jc w:val="left"/>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tbl>
      <w:tblPr>
        <w:tblW w:w="4465" w:type="dxa"/>
        <w:jc w:val="left"/>
        <w:tblInd w:w="0" w:type="dxa"/>
        <w:tblLayout w:type="fixed"/>
        <w:tblCellMar>
          <w:top w:w="0" w:type="dxa"/>
          <w:left w:w="0" w:type="dxa"/>
          <w:bottom w:w="28" w:type="dxa"/>
          <w:right w:w="0" w:type="dxa"/>
        </w:tblCellMar>
      </w:tblPr>
      <w:tblGrid>
        <w:gridCol w:w="710"/>
        <w:gridCol w:w="375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13.</w:t>
            </w:r>
          </w:p>
        </w:tc>
        <w:tc>
          <w:tcPr>
            <w:tcW w:w="375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of Issuance and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all of which will be borne by us, in connection with the sale and distribution of the securities being registered, other than the underwriting discounts and commissions. All amounts shown are estimates except for the Securities and Exchange Commission registration fee and FINRA filing fee.</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5060"/>
        <w:gridCol w:w="60"/>
        <w:gridCol w:w="140"/>
        <w:gridCol w:w="140"/>
        <w:gridCol w:w="75"/>
      </w:tblGrid>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Printing and engraving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agent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by amendment.</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710"/>
        <w:gridCol w:w="348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14.</w:t>
            </w:r>
          </w:p>
        </w:tc>
        <w:tc>
          <w:tcPr>
            <w:tcW w:w="348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of the Registrant shall be personally liable to it or its stockholders for monetary damages for any breach of fiduciary duty as director, notwithstanding any provision of law imposing such liability, except to the extent that the General Corporation Law of the State of Delaware prohibits the elimination or limitation of liability of directors for breaches of fiduciary duty.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provides that the Registrant will indemnify each person who was or is a party or threatened to be made a party to any threatened, pending or completed action, suit or proceeding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 The Registrant’s certificate of incorporation provides that the Registrant will indemnify any Indemnitee who was or is a party to an action or suit by or in the right of the Registrant to procure a judgment in the Registrant’s favor by reason of the fact that the Indemnitee is or was, or has agreed to become, a director or officer of the Registrant, or is or was serving, or has agreed to serve, at the Registrant’s request as a director, officer, partner, employee or trustee or,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best interests of the Registrant,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in connection therewith. Expenses must be advanced to an Indemnitee under certain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a general liability insurance policy that covers certain liabilities of the Registrant’s directors and officers arising out of claims based on acts or omissions in their capacities as directors or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directors and officers are covered by insurance policies indemnifying them against certain liabilities, including certain liabilities arising under the Securities Act of 1933, as amended, which might be incurred by them in such capacities and against which they cannot be indemnified by the Registrant.</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28" w:type="dxa"/>
          <w:right w:w="0" w:type="dxa"/>
        </w:tblCellMar>
      </w:tblPr>
      <w:tblGrid>
        <w:gridCol w:w="710"/>
        <w:gridCol w:w="330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15.</w:t>
            </w:r>
          </w:p>
        </w:tc>
        <w:tc>
          <w:tcPr>
            <w:tcW w:w="330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28" w:type="dxa"/>
          <w:right w:w="0" w:type="dxa"/>
        </w:tblCellMar>
      </w:tblPr>
      <w:tblGrid>
        <w:gridCol w:w="710"/>
        <w:gridCol w:w="78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16.</w:t>
            </w:r>
          </w:p>
        </w:tc>
        <w:tc>
          <w:tcPr>
            <w:tcW w:w="785"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Exhibits.</w:t>
            </w:r>
          </w:p>
        </w:tc>
      </w:tr>
    </w:tbl>
    <w:tbl>
      <w:tblPr>
        <w:tblW w:w="10205" w:type="dxa"/>
        <w:jc w:val="left"/>
        <w:tblInd w:w="0" w:type="dxa"/>
        <w:tblLayout w:type="fixed"/>
        <w:tblCellMar>
          <w:top w:w="0" w:type="dxa"/>
          <w:left w:w="0" w:type="dxa"/>
          <w:bottom w:w="0" w:type="dxa"/>
          <w:right w:w="0" w:type="dxa"/>
        </w:tblCellMar>
      </w:tblPr>
      <w:tblGrid>
        <w:gridCol w:w="290"/>
        <w:gridCol w:w="60"/>
        <w:gridCol w:w="9855"/>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Restated Certificate of Incorporation of the registrant (incorporated by reference from Exhibit 3.1 to our Quarterly Report on Form 10-Q filed September 14, 2007).</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Certificate of Amendment of Certificate of Incorporation of Ocean Power Technologies, Inc. dated October 27, 2015 (incorporated by reference from Exhibit 3.1 to Current Report on Form 8-K filed on October 28, 2015).</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October 21, 2016 (incorporated by reference to Exhibit 3.1 to the Company’s Current Report on Form 8-K filed on October 21, 2016).</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December 7, 2018 (incorporated by reference to Exhibit 3.1 to the Company’s Current Report on Form 8-K filed on December 7, 2018).</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March 8, 2019 (incorporated by reference to Exhibit 3.1 to the Company’s Current Report on Form 8-K filed on March 8, 2019).</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August 30, 2024 (incorporated by reference to Exhibit 3.1 to the Current Report on Form 8-K filed with the Securities and Exchange Commission by Ocean Power Technologies, Inc. on August 30, 2024).</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April 30, 2025 (incorporated by reference to Exhibit 3.1 to the Current Report on Form 8-K filed with the Securities and Exchange Commission by Ocean Power Technologies, Inc. on May 1, 2025).</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January 27, 2026 (incorporated by reference to Exhibit 3.1 to the Current Report on Form 8-K filed with the Securities and Exchange Commission by Ocean Power Technologies, Inc.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Amended and Restated Certificate of Designations of Series A Participating Preferred Stock of Ocean Power Technologies, Inc. (incorporated by reference to Exhibit 3.1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Amended and Restated Bylaws of the Company (incorporated by reference to Exhibit 3.1 to the Company’s Current Report on Form 8-K filed on July 5,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Specimen certificate of Common Stock (incorporated by reference to Exhibit 4.1 to the Registrant’s Annual Report on Form 10-K filed on July 28,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Warrant to Purchase Common Stock (incorporated by reference from Exhibit 4.1 to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Description of Company Securities (incorporated by reference to Exhibit 4.3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Amended and Restated Section 382 Tax Benefits Preservation Plan, dated as of June 29, 2026, by and between Ocean Power Technologies, Inc. and Computershare Trust Company, N.A., as Rights Agent (incorporated by reference to Exhibit 4.1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Warrant to Purchase Common Stock (incorporated by reference from Exhibit 4.1 to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Pre-Funded Warrant.**</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Common Warrant.**</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Porter Hedges LLP.**</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Amended and Restated 2006 Stock Incentive Plan (incorporated by reference from Exhibit A to Proxy Statement filed August 28, 2013).*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Restricted Stock Agreement Unit (incorporated by reference from Exhibit 10.1 to Form 10-Q filed March 14, 2011).*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2015 Omnibus Incentive Plan* (incorporated by reference to Annex A to Proxy Statement filed on September 3,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Ocean Power Technologies, Inc. Employment Inducement Incentive Award Plan (incorporated by reference to Exhibit 10.1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Restricted Stock Unit Agreement for Employment Inducement Incentive Award Plan (incorporated by reference to Exhibit 10.2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Contract between Eni S.p.A. and the Company dated March 14, 2018 (incorporated by reference to Exhibit 10.1 to Form 8-K filed with the SEC on March 19,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Contract between Harbour Energy UK Limited and the Company dated June 27, 2018 (incorporated by reference to Exhibit 10.27 to Form 10-K filed with the SEC on July 17,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Amendment to the Employment Agreement of George H. Kirby III (incorporated by reference to Exhibit 10.2 to Form 8-K filed with the SEC on July 18,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Contract between U.S. Navy and the Company dated February 11, 2019 (incorporated by reference to Exhibit 10.2 to Form 10-Q filed with the SEC on March 11,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Contract amendment between Harbour Energy UK Limited and the Company dated June 24, 2019 (incorporated by reference to Exhibit 10.1 to Form 8-K filed with the SEC on June 25,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Lease Agreement dated March 31, 2017 between Ocean Power Technologies, Inc. and PPH Industrial 28 Engelhard, LLC (incorporated by reference from Exhibit 10.37 to the Company’s Annual Report on Form 10-K filed with the SEC on July 22,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Supply and Service Contract between the Company and Empresa Electrica Panguipulli S.A. dated September 19, 2019 (incorporated by reference from Exhibit 10.1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Supply and Service Contract between the Company and Enel Green Power Chile LTDA dated September 19, 2019 (incorporated by reference from Exhibit 10.2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Contract amendment between Eni s.P.a. and the Company dated February 28, 2020 (incorporated by reference from Exhibit 10.1 to the Company’s Quarterly Report on Form 10-Q filed on March 9, 2020).</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Subcontract between Ocean Power Technologies, Inc. and Adams Communication &amp; Engineering Technology Inc. dated effective October 20, 2020 (incorporated by reference from Exhibit 10.1 to the Company’s Current Report on Form 8-K filed on October 27,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Stock Purchase Agreement among Ocean Power Technologies, Inc. and the sellers named therein dated November 15, 2021 (incorporated by reference to Exhibit 10.1 to the Company’s Current Report on Form 8-K filed on November 16,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Employment Letter between the Company and Robert P. Powers dated effective December 13, 2021* (incorporated by reference to Exhibit 10.1 to the Company’s Current Report on Form 8-K filed on December 13,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"https://www.sec.gov/Archives/edgar/data/1378140/000149315221025554/def14a.htm" \l "ed_009"</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Fifth Amendment to 2015 Omnibus Incentive Plan (incorporated by reference to Annex A to Proxy Statement filed on October 15, 2021).</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First Amendment to the Employment Inducement Incentive Award Plan (incorporated by reference to Exhibit 10.1 to the Company’s Current Report on Form 8-K filed on February 11,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"https://www.sec.gov/Archives/edgar/data/1378140/000149315222028878/formdef14a.htm" \l "ak_006"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Sixth Amendment to the 2015 Omnibus Incentive Plan (incorporated by reference to Annex A to Proxy Statement filed on October 19, 2022).</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Restricted Stock Unit Agreement for Non-Directors (incorporated by reference to Exhibit 10.1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Restricted Stock Unit Agreement for Directors (incorporated by reference to Exhibit 10.2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Non-Qualified Stock Option Agreement (incorporated by reference to Exhibit 10.3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10.2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Sales Agreement between the Company and A.G.P./Alliance Global Partners dated March 21, 2024 (incorporated by reference to Exhibit 10.1 to the Company’s Current Report on Form 8-K filed on March 21,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Amended and Restated Common Stock Purchase Agreement, dated as of September 19, 2024 (incorporated by reference to Exhibit 10.1 to the Company’s Current Report on Form 8-K filed on September 20,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Securities Purchase Agreement, dated as of September 13, 2024 (incorporated by reference to Exhibit 10.2 to the Company’s Quarterly Report on Form 10-Q filed on September 16,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Employment Agreement between the Company and Tracy Pagliara dated effective January 16, 2025 (incorporated by reference to Exhibit 10.1 to the Company’s Current Report on Form 8-K filed on January 21,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Second Amendment to Ocean Power Technologies, Inc. Employment Inducement Incentive Award Plan dated June 3, 2025 (incorporated by reference to Exhibit 10.1 to the Company’s Current Report on Form 8-K filed on June 4,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At Market Issuance Sales Agreement, dated August 8, 2025, by and between Ocean Power Technologies, Inc. and Ladenburg Thalmann &amp; Co. Inc. (incorporated by reference to Exhibit 10.1 to the Company’s Current Report on Form 8-K filed on August 8,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Third Amendment to Ocean Power Technologies, Inc. Employment Inducement Incentive Award Plan (incorporated by reference to Exhibit 10.1 to the Company’s Current Report on Form 8-K filed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First Amendment to Amended &amp; Restated 2015 Omnibus Incentive Plan (incorporated by reference to Exhibit A to the Company’s Definitive Proxy Statement on Schedule 14A filed on December 4,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Securities Purchase Agreement dated April 1, 2026 between Ocean Power Technologies, Inc. and the investors party thereto (incorporated by reference to Exhibit 10.1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Form of Series C-1 Convertible Note dated April 1, 2026 issued by Ocean Power Technologies, Inc. to the holder (incorporated by reference to Exhibit 10.2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Securities Purchase Agreement dated June 4, 2026 (incorporated by reference to Exhibit 10.1 to the Company’s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Securities Purchase Agreement among the Company and the purchasers named therein.**</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Company Insider Trading Policy (incorporated by reference to Exhibit 19.1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Subsidiaries of the registrant (incorporated by reference to Exhibit 21.1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Baker Tilly US, LLP.**</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Porter Hedges LLP.**</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Fees Table.**</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that confidential treatment has been requested for this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by amendment.</w:t>
      </w:r>
    </w:p>
    <w:p>
      <w:pPr>
        <w:pStyle w:val="TextBody"/>
        <w:bidi w:val="0"/>
        <w:spacing w:lineRule="auto" w:line="276"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28" w:type="dxa"/>
          <w:right w:w="0" w:type="dxa"/>
        </w:tblCellMar>
      </w:tblPr>
      <w:tblGrid>
        <w:gridCol w:w="710"/>
        <w:gridCol w:w="120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17.</w:t>
            </w:r>
          </w:p>
        </w:tc>
        <w:tc>
          <w:tcPr>
            <w:tcW w:w="120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Undertakings.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125"/>
        <w:gridCol w:w="132"/>
        <w:gridCol w:w="97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caps w:val="false"/>
                <w:smallCaps w:val="false"/>
              </w:rPr>
            </w:pPr>
            <w:r>
              <w:rPr>
                <w:caps w:val="false"/>
                <w:smallCaps w:val="false"/>
              </w:rPr>
              <w:t> </w:t>
            </w:r>
          </w:p>
        </w:tc>
        <w:tc>
          <w:tcPr>
            <w:tcW w:w="97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caps w:val="false"/>
                <w:smallCaps w:val="false"/>
              </w:rPr>
            </w:pPr>
            <w:r>
              <w:rPr>
                <w:caps w:val="false"/>
                <w:smallCaps w:val="false"/>
              </w:rPr>
              <w:t> </w:t>
            </w:r>
          </w:p>
        </w:tc>
        <w:tc>
          <w:tcPr>
            <w:tcW w:w="97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caps w:val="false"/>
                <w:smallCaps w:val="false"/>
              </w:rPr>
            </w:pPr>
            <w:r>
              <w:rPr>
                <w:caps w:val="false"/>
                <w:smallCaps w:val="false"/>
              </w:rPr>
              <w:t> </w:t>
            </w:r>
          </w:p>
        </w:tc>
        <w:tc>
          <w:tcPr>
            <w:tcW w:w="97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caps w:val="false"/>
                <w:smallCaps w:val="false"/>
              </w:rPr>
            </w:pPr>
            <w:r>
              <w:rPr>
                <w:caps w:val="false"/>
                <w:smallCaps w:val="false"/>
              </w:rPr>
              <w:t> </w:t>
            </w:r>
          </w:p>
        </w:tc>
        <w:tc>
          <w:tcPr>
            <w:tcW w:w="97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7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of 1933 to any purchaser in the initial distribution of the securities:</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14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99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99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99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Township of Monroe, State of New Jersey, on the          day of              , 2026.</w:t>
      </w:r>
    </w:p>
    <w:p>
      <w:pPr>
        <w:pStyle w:val="TextBody"/>
        <w:bidi w:val="0"/>
        <w:spacing w:before="0" w:after="0"/>
        <w:ind w:left="0" w:right="0" w:hanging="0"/>
        <w:jc w:val="center"/>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75"/>
        <w:gridCol w:w="339"/>
        <w:gridCol w:w="3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POWER OF ATTORNEY AND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Ocean Power Technologies, Inc., hereby, severally constitute and appoint Philipp Stratmann and Robert Powers, each of them singly, our true and lawful attorneys with full power to them and each of them singly, to sign for us and in our names in the capacities indicated below, the registration statement on Form S-1 filed herewith and any and all pre-effective and post-effective amendments to said registration statement and any subsequent registration statement for the same offering which may be filed under Rule 462(b) and generally to do all such things in our names and on our behalf in our capacities as officers and directors to enable Ocean Power Technologies,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pStyle w:val="TextBody"/>
        <w:bidi w:val="0"/>
        <w:spacing w:before="0" w:after="0"/>
        <w:ind w:left="0" w:right="0" w:hanging="0"/>
        <w:jc w:val="left"/>
        <w:rPr>
          <w:caps w:val="false"/>
          <w:smallCaps w:val="false"/>
        </w:rPr>
      </w:pPr>
      <w:r>
        <w:rPr>
          <w:caps w:val="false"/>
          <w:smallCaps w:val="false"/>
        </w:rPr>
        <w:t> </w:t>
      </w:r>
    </w:p>
    <w:tbl>
      <w:tblPr>
        <w:tblW w:w="8010" w:type="dxa"/>
        <w:jc w:val="left"/>
        <w:tblInd w:w="0" w:type="dxa"/>
        <w:tblLayout w:type="fixed"/>
        <w:tblCellMar>
          <w:top w:w="0" w:type="dxa"/>
          <w:left w:w="0" w:type="dxa"/>
          <w:bottom w:w="28" w:type="dxa"/>
          <w:right w:w="0" w:type="dxa"/>
        </w:tblCellMar>
      </w:tblPr>
      <w:tblGrid>
        <w:gridCol w:w="1880"/>
        <w:gridCol w:w="60"/>
        <w:gridCol w:w="4520"/>
        <w:gridCol w:w="60"/>
        <w:gridCol w:w="1490"/>
      </w:tblGrid>
      <w:tr>
        <w:trPr/>
        <w:tc>
          <w:tcPr>
            <w:tcW w:w="18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5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8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2026</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Director (Principal Executive Officer)</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(Principal Financial Officer and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2026</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Chairman of the Board and Director</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2026</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A. DiGuardo Jr.</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2026</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Clyde W. Hewlett</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2026</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Corliss J. Montesi</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8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2026</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Jim Thompson </w:t>
            </w:r>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8140/000149315226039261/form10-k.htm" TargetMode="External"/><Relationship Id="rId4" Type="http://schemas.openxmlformats.org/officeDocument/2006/relationships/hyperlink" Target="https://www.sec.gov/Archives/edgar/data/1378140/000149315226022516/form8-k.htm" TargetMode="External"/><Relationship Id="rId5" Type="http://schemas.openxmlformats.org/officeDocument/2006/relationships/hyperlink" Target="https://www.sec.gov/Archives/edgar/data/1378140/000149315226024820/form8-k.htm" TargetMode="External"/><Relationship Id="rId6" Type="http://schemas.openxmlformats.org/officeDocument/2006/relationships/hyperlink" Target="https://www.sec.gov/Archives/edgar/data/1378140/000149315226027653/form8-k.htm" TargetMode="External"/><Relationship Id="rId7" Type="http://schemas.openxmlformats.org/officeDocument/2006/relationships/hyperlink" Target="https://www.sec.gov/Archives/edgar/data/1378140/000149315226027926/form8-k.htm" TargetMode="External"/><Relationship Id="rId8" Type="http://schemas.openxmlformats.org/officeDocument/2006/relationships/hyperlink" Target="https://www.sec.gov/Archives/edgar/data/1378140/000149315226030434/form8-k.htm" TargetMode="External"/><Relationship Id="rId9" Type="http://schemas.openxmlformats.org/officeDocument/2006/relationships/hyperlink" Target="https://www.sec.gov/Archives/edgar/data/1378140/000149315226034425/form8-k.htm" TargetMode="External"/><Relationship Id="rId10" Type="http://schemas.openxmlformats.org/officeDocument/2006/relationships/hyperlink" Target="https://www.sec.gov/Archives/edgar/data/1378140/000149315226034862/form8-k.htm" TargetMode="External"/><Relationship Id="rId11" Type="http://schemas.openxmlformats.org/officeDocument/2006/relationships/hyperlink" Target="https://www.sec.gov/Archives/edgar/data/1378140/000149315226036203/form8-k.htm" TargetMode="External"/><Relationship Id="rId12" Type="http://schemas.openxmlformats.org/officeDocument/2006/relationships/hyperlink" Target="https://www.sec.gov/Archives/edgar/data/1378140/000149315226038739/form8-k.htm" TargetMode="External"/><Relationship Id="rId13" Type="http://schemas.openxmlformats.org/officeDocument/2006/relationships/hyperlink" Target="https://www.sec.gov/Archives/edgar/data/1378140/000149315226039393/form8-k.htm" TargetMode="External"/><Relationship Id="rId14" Type="http://schemas.openxmlformats.org/officeDocument/2006/relationships/hyperlink" Target="https://www.sec.gov/Archives/edgar/data/1378140/000095012307005612/y257908ae8va12b.htm" TargetMode="External"/><Relationship Id="rId15" Type="http://schemas.openxmlformats.org/officeDocument/2006/relationships/image" Target="media/image1.jpeg"/><Relationship Id="rId16" Type="http://schemas.openxmlformats.org/officeDocument/2006/relationships/hyperlink" Target="https://www.sec.gov/Archives/edgar/data/1378140/000095012307012637/y39497exv3w1.txt" TargetMode="External"/><Relationship Id="rId17" Type="http://schemas.openxmlformats.org/officeDocument/2006/relationships/hyperlink" Target="https://www.sec.gov/Archives/edgar/data/1378140/000143774915018957/ex3-1.htm" TargetMode="External"/><Relationship Id="rId18" Type="http://schemas.openxmlformats.org/officeDocument/2006/relationships/hyperlink" Target="https://www.sec.gov/Archives/edgar/data/1378140/000143774916040048/ex3-1.htm" TargetMode="External"/><Relationship Id="rId19" Type="http://schemas.openxmlformats.org/officeDocument/2006/relationships/hyperlink" Target="https://www.sec.gov/Archives/edgar/data/1378140/000149315218017201/ex3-1.htm" TargetMode="External"/><Relationship Id="rId20" Type="http://schemas.openxmlformats.org/officeDocument/2006/relationships/hyperlink" Target="https://www.sec.gov/Archives/edgar/data/1378140/000149315219003045/ex3-1.htm" TargetMode="External"/><Relationship Id="rId21" Type="http://schemas.openxmlformats.org/officeDocument/2006/relationships/hyperlink" Target="https://www.sec.gov/Archives/edgar/data/1378140/000149315224034583/ex3-1.htm" TargetMode="External"/><Relationship Id="rId22" Type="http://schemas.openxmlformats.org/officeDocument/2006/relationships/hyperlink" Target="https://www.sec.gov/Archives/edgar/data/1378140/000164117225008095/ex3-1.htm" TargetMode="External"/><Relationship Id="rId23" Type="http://schemas.openxmlformats.org/officeDocument/2006/relationships/hyperlink" Target="https://www.sec.gov/Archives/edgar/data/1378140/000149315226004017/ex3-1.htm" TargetMode="External"/><Relationship Id="rId24" Type="http://schemas.openxmlformats.org/officeDocument/2006/relationships/hyperlink" Target="https://www.sec.gov/Archives/edgar/data/1378140/000149315226030434/ex3-1.htm" TargetMode="External"/><Relationship Id="rId25" Type="http://schemas.openxmlformats.org/officeDocument/2006/relationships/hyperlink" Target="https://www.sec.gov/Archives/edgar/data/1378140/000149315224026337/ex3-1.htm" TargetMode="External"/><Relationship Id="rId26" Type="http://schemas.openxmlformats.org/officeDocument/2006/relationships/hyperlink" Target="https://www.sec.gov/Archives/edgar/data/1378140/000149315223025878/ex4-1.htm" TargetMode="External"/><Relationship Id="rId27" Type="http://schemas.openxmlformats.org/officeDocument/2006/relationships/hyperlink" Target="https://www.sec.gov/Archives/edgar/data/1378140/000149315226027653/ex4-1.htm" TargetMode="External"/><Relationship Id="rId28" Type="http://schemas.openxmlformats.org/officeDocument/2006/relationships/hyperlink" Target="https://www.sec.gov/Archives/edgar/data/1378140/000149315226039261/ex4-3.htm" TargetMode="External"/><Relationship Id="rId29" Type="http://schemas.openxmlformats.org/officeDocument/2006/relationships/hyperlink" Target="https://www.sec.gov/Archives/edgar/data/1378140/000149315226030434/ex4-1.htm" TargetMode="External"/><Relationship Id="rId30" Type="http://schemas.openxmlformats.org/officeDocument/2006/relationships/hyperlink" Target="https://www.sec.gov/Archives/edgar/data/1378140/000149315226027653/ex4-1.htm" TargetMode="External"/><Relationship Id="rId31" Type="http://schemas.openxmlformats.org/officeDocument/2006/relationships/hyperlink" Target="https://www.sec.gov/Archives/edgar/data/1378140/000143774913011400/optt20130826_def14a.htm" TargetMode="External"/><Relationship Id="rId32" Type="http://schemas.openxmlformats.org/officeDocument/2006/relationships/hyperlink" Target="https://www.sec.gov/Archives/edgar/data/1378140/000095012311025230/c14079exv10w1.htm" TargetMode="External"/><Relationship Id="rId33" Type="http://schemas.openxmlformats.org/officeDocument/2006/relationships/hyperlink" Target="https://www.sec.gov/Archives/edgar/data/1378140/000143774915016806/optt20150901_def14a.htm" TargetMode="External"/><Relationship Id="rId34" Type="http://schemas.openxmlformats.org/officeDocument/2006/relationships/hyperlink" Target="https://www.sec.gov/Archives/edgar/data/1378140/000149315218000778/ex10-1.htm" TargetMode="External"/><Relationship Id="rId35" Type="http://schemas.openxmlformats.org/officeDocument/2006/relationships/hyperlink" Target="https://www.sec.gov/Archives/edgar/data/1378140/000149315218000778/ex10-2.htm" TargetMode="External"/><Relationship Id="rId36" Type="http://schemas.openxmlformats.org/officeDocument/2006/relationships/hyperlink" Target="https://www.sec.gov/Archives/edgar/data/1378140/000149315218003541/ex10-1.htm" TargetMode="External"/><Relationship Id="rId37" Type="http://schemas.openxmlformats.org/officeDocument/2006/relationships/hyperlink" Target="https://www.sec.gov/Archives/edgar/data/1378140/000149315218010086/ex10-27.htm" TargetMode="External"/><Relationship Id="rId38" Type="http://schemas.openxmlformats.org/officeDocument/2006/relationships/hyperlink" Target="https://www.sec.gov/Archives/edgar/data/1378140/000149315218010119/ex10-2.htm" TargetMode="External"/><Relationship Id="rId39" Type="http://schemas.openxmlformats.org/officeDocument/2006/relationships/hyperlink" Target="https://www.sec.gov/Archives/edgar/data/1378140/000149315219003082/ex10-2.htm" TargetMode="External"/><Relationship Id="rId40" Type="http://schemas.openxmlformats.org/officeDocument/2006/relationships/hyperlink" Target="https://www.sec.gov/Archives/edgar/data/1378140/000149315219009701/ex10-1.htm" TargetMode="External"/><Relationship Id="rId41" Type="http://schemas.openxmlformats.org/officeDocument/2006/relationships/hyperlink" Target="https://www.sec.gov/Archives/edgar/data/1378140/000149315219010930/ex10-37.htm" TargetMode="External"/><Relationship Id="rId42" Type="http://schemas.openxmlformats.org/officeDocument/2006/relationships/hyperlink" Target="https://www.sec.gov/Archives/edgar/data/1378140/000149315219014434/ex10-1.htm" TargetMode="External"/><Relationship Id="rId43" Type="http://schemas.openxmlformats.org/officeDocument/2006/relationships/hyperlink" Target="https://www.sec.gov/Archives/edgar/data/1378140/000149315219014434/ex10-2.htm" TargetMode="External"/><Relationship Id="rId44" Type="http://schemas.openxmlformats.org/officeDocument/2006/relationships/hyperlink" Target="https://www.sec.gov/Archives/edgar/data/1378140/000149315220003608/ex10-1.htm" TargetMode="External"/><Relationship Id="rId45" Type="http://schemas.openxmlformats.org/officeDocument/2006/relationships/hyperlink" Target="https://www.sec.gov/Archives/edgar/data/1378140/000149315220019983/ex10-1.htm" TargetMode="External"/><Relationship Id="rId46" Type="http://schemas.openxmlformats.org/officeDocument/2006/relationships/hyperlink" Target="https://www.sec.gov/Archives/edgar/data/1378140/000149315221028854/ex10-1.htm" TargetMode="External"/><Relationship Id="rId47" Type="http://schemas.openxmlformats.org/officeDocument/2006/relationships/hyperlink" Target="https://www.sec.gov/Archives/edgar/data/1378140/000149315221031190/ex10-1.htm" TargetMode="External"/><Relationship Id="rId48" Type="http://schemas.openxmlformats.org/officeDocument/2006/relationships/hyperlink" Target="https://www.sec.gov/Archives/edgar/data/1378140/000149315222004072/ex10-1.htm" TargetMode="External"/><Relationship Id="rId49" Type="http://schemas.openxmlformats.org/officeDocument/2006/relationships/hyperlink" Target="https://www.sec.gov/Archives/edgar/data/1378140/000149315223007434/ex10-1.htm" TargetMode="External"/><Relationship Id="rId50" Type="http://schemas.openxmlformats.org/officeDocument/2006/relationships/hyperlink" Target="https://www.sec.gov/Archives/edgar/data/1378140/000149315223007434/ex10-2.htm" TargetMode="External"/><Relationship Id="rId51" Type="http://schemas.openxmlformats.org/officeDocument/2006/relationships/hyperlink" Target="https://www.sec.gov/Archives/edgar/data/1378140/000149315223007434/ex10-3.htm" TargetMode="External"/><Relationship Id="rId52" Type="http://schemas.openxmlformats.org/officeDocument/2006/relationships/hyperlink" Target="https://www.sec.gov/Archives/edgar/data/1378140/000149315223044704/ex10-1.htm" TargetMode="External"/><Relationship Id="rId53" Type="http://schemas.openxmlformats.org/officeDocument/2006/relationships/hyperlink" Target="https://www.sec.gov/Archives/edgar/data/1378140/000149315223044704/ex10-2.htm" TargetMode="External"/><Relationship Id="rId54" Type="http://schemas.openxmlformats.org/officeDocument/2006/relationships/hyperlink" Target="https://www.sec.gov/Archives/edgar/data/1378140/000149315223044704/ex10-1.htm" TargetMode="External"/><Relationship Id="rId55" Type="http://schemas.openxmlformats.org/officeDocument/2006/relationships/hyperlink" Target="https://www.sec.gov/Archives/edgar/data/1378140/000149315224010814/ex10-1.htm" TargetMode="External"/><Relationship Id="rId56" Type="http://schemas.openxmlformats.org/officeDocument/2006/relationships/hyperlink" Target="https://www.sec.gov/Archives/edgar/data/1378140/000149315224037590/ex10-1.htm" TargetMode="External"/><Relationship Id="rId57" Type="http://schemas.openxmlformats.org/officeDocument/2006/relationships/hyperlink" Target="https://www.sec.gov/Archives/edgar/data/1378140/000149315224036423/ex10-2.htm" TargetMode="External"/><Relationship Id="rId58" Type="http://schemas.openxmlformats.org/officeDocument/2006/relationships/hyperlink" Target="https://www.sec.gov/Archives/edgar/data/1378140/000149315225003023/ex10-1.htm" TargetMode="External"/><Relationship Id="rId59" Type="http://schemas.openxmlformats.org/officeDocument/2006/relationships/hyperlink" Target="https://www.sec.gov/Archives/edgar/data/1378140/000164117225013665/ex10-1.htm" TargetMode="External"/><Relationship Id="rId60" Type="http://schemas.openxmlformats.org/officeDocument/2006/relationships/hyperlink" Target="https://www.sec.gov/Archives/edgar/data/1378140/000164117225022761/ex10-1.htm" TargetMode="External"/><Relationship Id="rId61" Type="http://schemas.openxmlformats.org/officeDocument/2006/relationships/hyperlink" Target="https://www.sec.gov/Archives/edgar/data/1378140/000149315226004017/ex10-1.htm" TargetMode="External"/><Relationship Id="rId62" Type="http://schemas.openxmlformats.org/officeDocument/2006/relationships/hyperlink" Target="https://www.sec.gov/Archives/edgar/data/1378140/000149315225026037/formdef14a.htm" TargetMode="External"/><Relationship Id="rId63" Type="http://schemas.openxmlformats.org/officeDocument/2006/relationships/hyperlink" Target="https://www.sec.gov/Archives/edgar/data/1378140/000149315226014548/ex10-1.htm" TargetMode="External"/><Relationship Id="rId64" Type="http://schemas.openxmlformats.org/officeDocument/2006/relationships/hyperlink" Target="https://www.sec.gov/Archives/edgar/data/1378140/000149315226014548/ex10-2.htm" TargetMode="External"/><Relationship Id="rId65" Type="http://schemas.openxmlformats.org/officeDocument/2006/relationships/hyperlink" Target="https://www.sec.gov/Archives/edgar/data/1378140/000149315226027653/ex10-1.htm" TargetMode="External"/><Relationship Id="rId66" Type="http://schemas.openxmlformats.org/officeDocument/2006/relationships/hyperlink" Target="https://www.sec.gov/Archives/edgar/data/1378140/000149315226039261/ex19-1.htm" TargetMode="External"/><Relationship Id="rId67" Type="http://schemas.openxmlformats.org/officeDocument/2006/relationships/hyperlink" Target="https://www.sec.gov/Archives/edgar/data/1378140/000149315226039261/ex21-1.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18976</Words>
  <Characters>99925</Characters>
  <CharactersWithSpaces>119697</CharactersWithSpaces>
  <Paragraphs>1710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