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form8-k.htm"/>
      <w:bookmarkStart w:id="1" w:name="ksform8k"/>
      <w:bookmarkEnd w:id="0"/>
      <w:bookmarkEnd w:id="1"/>
      <w:r>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92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September 24,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924"/>
            <w:bookmarkEnd w:id="6"/>
            <w:r>
              <w:rPr>
                <w:rFonts w:ascii="Times New Roman;Times;Serif" w:hAnsi="Times New Roman;Times;Serif"/>
                <w:b/>
                <w:i w:val="false"/>
                <w:caps w:val="false"/>
                <w:smallCaps w:val="false"/>
                <w:sz w:val="20"/>
              </w:rPr>
              <w:t>001-33417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22-2535818</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3275"/>
        <w:gridCol w:w="60"/>
        <w:gridCol w:w="920"/>
      </w:tblGrid>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28 Engelhard Drive,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6_edei--EntityAddressAddressLine2_"/>
            <w:bookmarkEnd w:id="9"/>
            <w:r>
              <w:rPr>
                <w:rFonts w:ascii="Times New Roman;Times;Serif" w:hAnsi="Times New Roman;Times;Serif"/>
                <w:b/>
                <w:i w:val="false"/>
                <w:caps w:val="false"/>
                <w:smallCaps w:val="false"/>
                <w:sz w:val="20"/>
              </w:rPr>
              <w:t xml:space="preserve">Suite B </w:t>
            </w:r>
            <w:bookmarkStart w:id="10" w:name="xdx_907_edei--EntityAddressCityOrTown_c2"/>
            <w:bookmarkEnd w:id="10"/>
            <w:r>
              <w:rPr>
                <w:rFonts w:ascii="Times New Roman;Times;Serif" w:hAnsi="Times New Roman;Times;Serif"/>
                <w:b/>
                <w:i w:val="false"/>
                <w:caps w:val="false"/>
                <w:smallCaps w:val="false"/>
                <w:sz w:val="20"/>
              </w:rPr>
              <w:t>Monroe Township,</w:t>
            </w:r>
            <w:bookmarkStart w:id="11" w:name="xdx_906_edei--EntityAddressStateOrProvin"/>
            <w:bookmarkEnd w:id="11"/>
            <w:r>
              <w:rPr>
                <w:rFonts w:ascii="Times New Roman;Times;Serif" w:hAnsi="Times New Roman;Times;Serif"/>
                <w:b/>
                <w:i w:val="false"/>
                <w:caps w:val="false"/>
                <w:smallCaps w:val="false"/>
                <w:sz w:val="20"/>
              </w:rPr>
              <w:t xml:space="preserve"> New Jersey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1_edei--EntityAddressPostalZipCode"/>
            <w:bookmarkEnd w:id="12"/>
            <w:r>
              <w:rPr>
                <w:rFonts w:ascii="Times New Roman;Times;Serif" w:hAnsi="Times New Roman;Times;Serif"/>
                <w:b/>
                <w:i w:val="false"/>
                <w:caps w:val="false"/>
                <w:smallCaps w:val="false"/>
                <w:sz w:val="20"/>
              </w:rPr>
              <w:t>08831</w:t>
            </w:r>
          </w:p>
        </w:tc>
      </w:tr>
      <w:tr>
        <w:trPr/>
        <w:tc>
          <w:tcPr>
            <w:tcW w:w="32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8_edei--CityAreaCode_c20260924__20"/>
      <w:bookmarkEnd w:id="13"/>
      <w:r>
        <w:rPr>
          <w:rFonts w:ascii="Times New Roman;Times;Serif" w:hAnsi="Times New Roman;Times;Serif"/>
          <w:b/>
          <w:i w:val="false"/>
          <w:caps w:val="false"/>
          <w:smallCaps w:val="false"/>
          <w:sz w:val="20"/>
        </w:rPr>
        <w:t xml:space="preserve">(609) </w:t>
      </w:r>
      <w:bookmarkStart w:id="14" w:name="xdx_90D_edei--LocalPhoneNumber_c20260924"/>
      <w:bookmarkEnd w:id="14"/>
      <w:r>
        <w:rPr>
          <w:rFonts w:ascii="Times New Roman;Times;Serif" w:hAnsi="Times New Roman;Times;Serif"/>
          <w:b/>
          <w:i w:val="false"/>
          <w:caps w:val="false"/>
          <w:smallCaps w:val="false"/>
          <w:sz w:val="20"/>
        </w:rPr>
        <w:t>730-0400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360"/>
        <w:jc w:val="both"/>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A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6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0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F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Security12bTitle_c20260924"/>
            <w:bookmarkEnd w:id="19"/>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A_edei--TradingSymbol_c20260924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D_edei--SecurityExchangeName_c2026"/>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Security12bTitle_c20260924"/>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TradingSymbol_c20260924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D_edei--SecurityExchangeName_c2026"/>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E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 Exchange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Ocean Power Technologies, Inc. (the “Company”) entered into exchange agreements (the “Exchange Agreements”) with each of the holders (the “Noteholders”) of its Series C-1 Convertible Notes issued in a registered offering on April 1, 2026 (the “Existing Notes”). Pursuant to the Exchange Agreements, on such date, the Noteholders exchanged their Existing Notes for an equivalent principal amount of Series D Convertible Notes (the “Series D Notes”) in reliance on the exemption from registration provided by Section 3(a)(9) of the Securities Act of 1933, as amended (the “Securities Act”). The Existing Notes were cancelled upon the issuance of the Series 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Notes are substantially similar to the Existing Notes, except that the conversion price was reduced from $12.00 to $2.45, and an alternative conversion price equal to 93% of the lowest VWAP (as defined in the Series D Notes) of the Company’s common stock, par value $0.001 per share (the “Common Stock”), during the seven trading days prior to the applicable conversion date, as well as certain other conforming and administrative changes. The conversion price is subject to customary adjustments upon any stock split, stock dividend, stock combination, recapitalization or similar event. The Noteholders also agreed to begin any amortization payments otherwise due under the Series D Notes on January 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Notes bear interest at an interest rate of 4.5% per annum except that upon the occurrence and during the continuance of an Event of Default (as defined in the Series D Notes), interest will accrue on the Series D Notes at an interest rate of 13% per annum. Unless earlier converted, the Series D Notes will mature on the eighteen-month anniversary of the date of issuance at a premium to 13% to the face value of the Series 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Series D Notes may be converted to the extent that such conversion would cause a holder of such Series D Note to become the beneficial owner of more than 4.99% of the then outstanding Common Stock, after giving effect to such conversion (the “Beneficial Ownership Cap”). However, a Noteholder, upon notice to the Company, may increase or decrease the Beneficial Ownership Cap, provided that the Beneficial Ownership Cap in no event exceeds 9.99% of the shares of Common Stock outstanding immediately after giving effect to such conversion. Any increase in the Beneficial Ownership Cap will not be effective until the sixty-first (61st) day after such notice is delivered to the Company. The Noteholders also may not convert any Series D Notes into a number of shares of Common Stock in excess of 19.99% of the outstanding shares of Common Stock as of the date of the Exchange Agreement until the Company obtains stockholder approval for such issuances in accordance with the applicable rules of the NYSE American.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Exchange Agreement and the Series D Notes are not complete and are qualified in their entirety by reference to the full texts of the forms of Exchange Agreement and the Series D Notes filed as Exhibits 10.1 and 10.2 hereto,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Amendment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the Company also entered into an Amendment Agreement with each of the holders (the “Warrantholders”) of its common warrants issued on June 8, 2026 (the “Warrants”). Pursuant to the Amendment Agreement, the exercise price of the Warrants was adjusted from $12.00 to $2.45.</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Amendment Agreement is not complete and are qualified in its entirety by reference to the full text of the form of Amendment Agreement filed as Exhibit 10.2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regarding the Series D Notes is hereby incorporated by reference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regarding the Series D Notes and the shares of Common Stock issuable upon conversion of the Series D Notes is hereby incorporated by reference in its entirety.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2026, Tracy Pagliara, Acting President and Chief Executive Officer, and Jason Weed, Chief Operating Officer, participated in an interview with Proactive, a financial news outlet. A copy of the transcript of the interview is furnished as Exhibit 99.1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5"/>
        <w:gridCol w:w="60"/>
        <w:gridCol w:w="9170"/>
      </w:tblGrid>
      <w:tr>
        <w:trPr/>
        <w:tc>
          <w:tcPr>
            <w:tcW w:w="97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0"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Form of Exchange Agreement dated as of September 25, 2026, by and between the Company and the Noteholders.</w:t>
              </w:r>
            </w:hyperlink>
          </w:p>
        </w:tc>
      </w:tr>
      <w:tr>
        <w:trPr/>
        <w:tc>
          <w:tcPr>
            <w:tcW w:w="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0"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Form of Series D Convertible Note issued on September 25, 2026.</w:t>
              </w:r>
            </w:hyperlink>
          </w:p>
        </w:tc>
      </w:tr>
      <w:tr>
        <w:trPr/>
        <w:tc>
          <w:tcPr>
            <w:tcW w:w="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0"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Form of Amendment Agreement dated as of September 25, 2026 by and between the Company and the Warrantholders.</w:t>
              </w:r>
            </w:hyperlink>
          </w:p>
        </w:tc>
      </w:tr>
      <w:tr>
        <w:trPr/>
        <w:tc>
          <w:tcPr>
            <w:tcW w:w="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Transcript of interview of Company management.</w:t>
              </w:r>
            </w:hyperlink>
          </w:p>
        </w:tc>
      </w:tr>
      <w:tr>
        <w:trPr/>
        <w:tc>
          <w:tcPr>
            <w:tcW w:w="97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7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2240"/>
        <w:gridCol w:w="3695"/>
      </w:tblGrid>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25, 2026</w:t>
            </w:r>
          </w:p>
        </w:tc>
        <w:tc>
          <w:tcPr>
            <w:tcW w:w="36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Tracy Pagliara</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tc>
      </w:tr>
      <w:tr>
        <w:trPr/>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President and Chief Executive Officer</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0"/>
        <w:jc w:val="center"/>
        <w:rPr>
          <w:caps w:val="false"/>
          <w:smallCaps w:val="false"/>
        </w:rPr>
      </w:pPr>
      <w:bookmarkStart w:id="26" w:name="ex10-1.htm"/>
      <w:bookmarkStart w:id="27" w:name="ksex10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EXCHANGE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September 25, 2026, by and between Ocean Power Technologies,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undersigned holder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Holder beneficially owns and holds a Series C-1 Senior Convertible Note of the Company in the original principal amount of $[●], of which $[●] in principal amount remains outstanding as of the date hereof (the “</w:t>
      </w:r>
      <w:r>
        <w:rPr>
          <w:rFonts w:ascii="Times New Roman;Times;Serif" w:hAnsi="Times New Roman;Times;Serif"/>
          <w:b w:val="false"/>
          <w:i w:val="false"/>
          <w:caps w:val="false"/>
          <w:smallCaps w:val="false"/>
          <w:sz w:val="20"/>
          <w:u w:val="single"/>
        </w:rPr>
        <w:t>Original Securities</w:t>
      </w:r>
      <w:r>
        <w:rPr>
          <w:rFonts w:ascii="Times New Roman;Times;Serif" w:hAnsi="Times New Roman;Times;Serif"/>
          <w:b w:val="false"/>
          <w:i w:val="false"/>
          <w:caps w:val="false"/>
          <w:smallCaps w:val="false"/>
          <w:sz w:val="20"/>
        </w:rPr>
        <w:t>”), which are convertible into a certain aggregate number of shares of the Company’s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Holder desires to exchange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xml:space="preserve">”) the Original Securities for a newly issued Series D Senior Convertible Note in the original principal amount of $[●], substantially in the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Exchanged Note</w:t>
      </w:r>
      <w:r>
        <w:rPr>
          <w:rFonts w:ascii="Times New Roman;Times;Serif" w:hAnsi="Times New Roman;Times;Serif"/>
          <w:b w:val="false"/>
          <w:i w:val="false"/>
          <w:caps w:val="false"/>
          <w:smallCaps w:val="false"/>
          <w:sz w:val="20"/>
        </w:rPr>
        <w:t>”), which Exchange Note shall be convertible into shares of Common Stock on the terms set forth therein (the “</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and together with the Exchanged Note, the “</w:t>
      </w:r>
      <w:r>
        <w:rPr>
          <w:rFonts w:ascii="Times New Roman;Times;Serif" w:hAnsi="Times New Roman;Times;Serif"/>
          <w:b w:val="false"/>
          <w:i w:val="false"/>
          <w:caps w:val="false"/>
          <w:smallCaps w:val="false"/>
          <w:sz w:val="20"/>
          <w:u w:val="single"/>
        </w:rPr>
        <w:t>Exchanged Securities</w:t>
      </w:r>
      <w:r>
        <w:rPr>
          <w:rFonts w:ascii="Times New Roman;Times;Serif" w:hAnsi="Times New Roman;Times;Serif"/>
          <w:b w:val="false"/>
          <w:i w:val="false"/>
          <w:caps w:val="false"/>
          <w:smallCaps w:val="false"/>
          <w:sz w:val="20"/>
        </w:rPr>
        <w:t>”), and the Company desires to issue the Exchanged Securities in exchange for the Original Securities, all on the terms and conditions set forth in this Agreement in reliance on the exemption from registration provided by Section 3(a)(9)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upon the consummation of the transactions contemplated hereby, the Holder shall no longer own the Original Securities, and the Company shall cancel the note and/or other physical documents evidencing the Original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herewith, the Company shall implement transactions identical, in all material respects, to this Agreement with respect to other outstanding Series C-1 Senior Convertible Note of the Company (the “</w:t>
      </w:r>
      <w:r>
        <w:rPr>
          <w:rFonts w:ascii="Times New Roman;Times;Serif" w:hAnsi="Times New Roman;Times;Serif"/>
          <w:b w:val="false"/>
          <w:i w:val="false"/>
          <w:caps w:val="false"/>
          <w:smallCaps w:val="false"/>
          <w:sz w:val="20"/>
          <w:u w:val="single"/>
        </w:rPr>
        <w:t>Other Securities</w:t>
      </w:r>
      <w:r>
        <w:rPr>
          <w:rFonts w:ascii="Times New Roman;Times;Serif" w:hAnsi="Times New Roman;Times;Serif"/>
          <w:b w:val="false"/>
          <w:i w:val="false"/>
          <w:caps w:val="false"/>
          <w:smallCaps w:val="false"/>
          <w:sz w:val="20"/>
        </w:rPr>
        <w:t>”, and the Series D Senior Convertible Notes issued in exchange therefor, the “</w:t>
      </w:r>
      <w:r>
        <w:rPr>
          <w:rFonts w:ascii="Times New Roman;Times;Serif" w:hAnsi="Times New Roman;Times;Serif"/>
          <w:b w:val="false"/>
          <w:i w:val="false"/>
          <w:caps w:val="false"/>
          <w:smallCaps w:val="false"/>
          <w:sz w:val="20"/>
          <w:u w:val="single"/>
        </w:rPr>
        <w:t>Other Exchanged Notes</w:t>
      </w:r>
      <w:r>
        <w:rPr>
          <w:rFonts w:ascii="Times New Roman;Times;Serif" w:hAnsi="Times New Roman;Times;Serif"/>
          <w:b w:val="false"/>
          <w:i w:val="false"/>
          <w:caps w:val="false"/>
          <w:smallCaps w:val="false"/>
          <w:sz w:val="20"/>
        </w:rPr>
        <w:t>” and together with the Exchanged Note, the “</w:t>
      </w:r>
      <w:r>
        <w:rPr>
          <w:rFonts w:ascii="Times New Roman;Times;Serif" w:hAnsi="Times New Roman;Times;Serif"/>
          <w:b w:val="false"/>
          <w:i w:val="false"/>
          <w:caps w:val="false"/>
          <w:smallCaps w:val="false"/>
          <w:sz w:val="20"/>
          <w:u w:val="single"/>
        </w:rPr>
        <w:t>Exchanged Notes</w:t>
      </w:r>
      <w:r>
        <w:rPr>
          <w:rFonts w:ascii="Times New Roman;Times;Serif" w:hAnsi="Times New Roman;Times;Serif"/>
          <w:b w:val="false"/>
          <w:i w:val="false"/>
          <w:caps w:val="false"/>
          <w:smallCaps w:val="false"/>
          <w:sz w:val="20"/>
        </w:rPr>
        <w:t>”) that are currently outstanding and held by other investors (the “</w:t>
      </w:r>
      <w:r>
        <w:rPr>
          <w:rFonts w:ascii="Times New Roman;Times;Serif" w:hAnsi="Times New Roman;Times;Serif"/>
          <w:b w:val="false"/>
          <w:i w:val="false"/>
          <w:caps w:val="false"/>
          <w:smallCaps w:val="false"/>
          <w:sz w:val="20"/>
          <w:u w:val="single"/>
        </w:rPr>
        <w:t>Other Holders</w:t>
      </w:r>
      <w:r>
        <w:rPr>
          <w:rFonts w:ascii="Times New Roman;Times;Serif" w:hAnsi="Times New Roman;Times;Serif"/>
          <w:b w:val="false"/>
          <w:i w:val="false"/>
          <w:caps w:val="false"/>
          <w:smallCaps w:val="false"/>
          <w:sz w:val="20"/>
        </w:rPr>
        <w:t>”, and together with the Holder,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as applicable, by entering into agreements (the “</w:t>
      </w:r>
      <w:r>
        <w:rPr>
          <w:rFonts w:ascii="Times New Roman;Times;Serif" w:hAnsi="Times New Roman;Times;Serif"/>
          <w:b w:val="false"/>
          <w:i w:val="false"/>
          <w:caps w:val="false"/>
          <w:smallCaps w:val="false"/>
          <w:sz w:val="20"/>
          <w:u w:val="single"/>
        </w:rPr>
        <w:t>Other Exchange Agreements</w:t>
      </w:r>
      <w:r>
        <w:rPr>
          <w:rFonts w:ascii="Times New Roman;Times;Serif" w:hAnsi="Times New Roman;Times;Serif"/>
          <w:b w:val="false"/>
          <w:i w:val="false"/>
          <w:caps w:val="false"/>
          <w:smallCaps w:val="false"/>
          <w:sz w:val="20"/>
        </w:rPr>
        <w:t>”) in the same form as this Agreement (other than proportional changes based upon the difference in aggregate amounts outstanding and number of Other Securities and the payment of legal expenses with respect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terms and conditions contained herein, and other good and valuable consideration, the receipt and sufficiency of which is hereby acknowledged, the Company and the Holder hereby agree as follows: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Subject to and upon the terms and conditions set forth in this Agreement, the Holder agrees to surrender to the Company the Original Securities without the payment of any other consideration by such Holder that would not be consistent with the application of Section 3(a)(9) of the Securities Act to the issuance of the Exchanged Note and, in exchange therefor, the Company shall issue to the Holder the Exchanged Note. The original principal amount of the Exchanged Note shall equal the sum of (a) the aggregate principal amount of the Original Securities outstanding immediately prior to the Closing and (b) all interest accrued and unpaid on the Original Securities from and including September 1, 2026 through and including the Closing Date (the “</w:t>
      </w:r>
      <w:r>
        <w:rPr>
          <w:rFonts w:ascii="Times New Roman;Times;Serif" w:hAnsi="Times New Roman;Times;Serif"/>
          <w:b w:val="false"/>
          <w:i w:val="false"/>
          <w:caps w:val="false"/>
          <w:smallCaps w:val="false"/>
          <w:sz w:val="20"/>
          <w:u w:val="single"/>
        </w:rPr>
        <w:t>Accrued Interest Amount</w:t>
      </w:r>
      <w:r>
        <w:rPr>
          <w:rFonts w:ascii="Times New Roman;Times;Serif" w:hAnsi="Times New Roman;Times;Serif"/>
          <w:b w:val="false"/>
          <w:i w:val="false"/>
          <w:caps w:val="false"/>
          <w:smallCaps w:val="false"/>
          <w:sz w:val="20"/>
        </w:rPr>
        <w:t>”), which sum is set forth on the face of the Exchanged Note as the Original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(as defined below), the Company will issue the Exchanged Note to the Holder, or in the name of a custodian or nominee of the Holder, or as otherwise requested by the Holder in writing, and the Original Securities will be deemed to have been surrendered by the Holder to the Company for cancellation. The closing of the Exchange shall occur on date hereof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Section 3(a)(9)</w:t>
      </w:r>
      <w:r>
        <w:rPr>
          <w:rFonts w:ascii="Times New Roman;Times;Serif" w:hAnsi="Times New Roman;Times;Serif"/>
          <w:b w:val="false"/>
          <w:i w:val="false"/>
          <w:caps w:val="false"/>
          <w:smallCaps w:val="false"/>
          <w:sz w:val="20"/>
        </w:rPr>
        <w:t>. Assuming the accuracy of the representations and warranties of each of the Company and the Holder as set forth in Sections 2 and 3 of this Agreement, the parties acknowledge and agree that the purpose of such representations and warranties is, among other things, to ensure that the Exchange qualifies as an exchange of securities under Section 3(a)(9)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Holding Period and Tacking</w:t>
      </w:r>
      <w:r>
        <w:rPr>
          <w:rFonts w:ascii="Times New Roman;Times;Serif" w:hAnsi="Times New Roman;Times;Serif"/>
          <w:b w:val="false"/>
          <w:i w:val="false"/>
          <w:caps w:val="false"/>
          <w:smallCaps w:val="false"/>
          <w:sz w:val="20"/>
        </w:rPr>
        <w:t>. The Company represents, warrants and agrees that for the purposes of Rule 144 promulgated under the Securities Act (“</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xml:space="preserve">”), the holding period of the Holder will include the holding period of the Original Securities which began on April 1, 2026, the date that the Original Securities were issued. The Company agrees not to take a position contrary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in any document, statement, setting, or situation. The Company acknowledges and understands that the representations and agreements of the Company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are a material inducement to the Holder’s decision to consummate the transactions contemplated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Transfer Agent Instructions; Unrestricted Securities</w:t>
      </w:r>
      <w:r>
        <w:rPr>
          <w:rFonts w:ascii="Times New Roman;Times;Serif" w:hAnsi="Times New Roman;Times;Serif"/>
          <w:b w:val="false"/>
          <w:i w:val="false"/>
          <w:caps w:val="false"/>
          <w:smallCaps w:val="false"/>
          <w:sz w:val="20"/>
        </w:rPr>
        <w:t>. The Company represents and warrants that the Original Securities were issued pursuant to the Company’s prospectus supplement dated as of April 1, 2026 filed pursuant to Rule 424(b)(5) promulgated under the Securities Act, which prospectus supplement forms a part of the Registration Statement on Form S-3 (File No. 333-275843), and were not “restricted securities” within the meaning of Rule 144(a)(3). Accordingly, the Company represents, warrants and agrees that neither the Exchanged Note nor the Conversion Shares are or will be “restricted securities,” and that the Exchanged Note and the Conversion Shares shall be issued and delivered free of any restrictive legend or stop-transfer instruction. On or prior to the Closing Date, the Company shall deliver to its transfer agent irrevocable instructions, in form and substance reasonably acceptable to the Holder (the “</w:t>
      </w:r>
      <w:r>
        <w:rPr>
          <w:rFonts w:ascii="Times New Roman;Times;Serif" w:hAnsi="Times New Roman;Times;Serif"/>
          <w:b/>
          <w:i w:val="false"/>
          <w:caps w:val="false"/>
          <w:smallCaps w:val="false"/>
          <w:sz w:val="20"/>
        </w:rPr>
        <w:t>Irrevocable Transfer Agent Instructions</w:t>
      </w:r>
      <w:r>
        <w:rPr>
          <w:rFonts w:ascii="Times New Roman;Times;Serif" w:hAnsi="Times New Roman;Times;Serif"/>
          <w:b w:val="false"/>
          <w:i w:val="false"/>
          <w:caps w:val="false"/>
          <w:smallCaps w:val="false"/>
          <w:sz w:val="20"/>
        </w:rPr>
        <w:t xml:space="preserve">”), to issue the Conversion Shares in book-entry form without restrictive legend to or upon the order of the Holder and to credit such shares to the Holder’s or its designee’s balance account with The Depository Trust Company through its Deposit/Withdrawal at Custodian system. The Company agrees not to take a position contrary to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in any document, statement, setting or situation.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Continuation of Covenants; Bring-Down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Company set forth in that certain Securities Purchase Agreement, dated as of April 1, 2026 by and among the Company and the investors signatory thereto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xml:space="preserve">”) are hereby remade by the Company as of the Closing Date with respect to the Exchange and the transactions contemplated hereby,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as if made on and as of such date (except for any representation or warranty that speaks as of a specified date, which is remade as of such date), in each case as qualified by the SEC Reports (as defined below) and Schedule 2.17.</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covenants and agreements of the Company set forth in Section 4 of the Securities Purchase Agreement shall survive the Exchange, shall remain in full force and effect, and shall apply to the Exchanged Note and the Conversion Shares as though the Exchanged Note were a “Note” and the Conversion Shares were “Conversion Shares” thereunder.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the avoidance of doubt, nothing in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shall be construed to remake, continue or extend any representation, warranty, covenant or agreement set forth in the Securities Purchase Agreement to apply to the Holder, and the Holder’s representations and warranties are limited to those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No Waiver of Accrued Amounts</w:t>
      </w:r>
      <w:r>
        <w:rPr>
          <w:rFonts w:ascii="Times New Roman;Times;Serif" w:hAnsi="Times New Roman;Times;Serif"/>
          <w:b w:val="false"/>
          <w:i w:val="false"/>
          <w:caps w:val="false"/>
          <w:smallCaps w:val="false"/>
          <w:sz w:val="20"/>
        </w:rPr>
        <w:t>. The Company acknowledges and agrees that the Accrued Interest Amount is due and owing to the Holder in respect of the Original Securities as of the Closing Date, that such amount is included in the Original Principal Amount of the Exchanged Note, and that no portion thereof is or shall be deemed waived, released, discharged or cancelled by reason of the surrender and cancellation of the Original Securities pursuant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Holder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of the Company as set forth in the SEC Reports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is in violation or default of any of the provisions of its respective certificate or certificates of incorporation, bylaws or other organizational or charter documents. The Company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on the results of operations, assets, business, prospects or condition (financial or otherwise) of the Company, taken as a whole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otherwise to carry out its obligations hereunder and thereunder. The execution and delivery of this Agreement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This Agreement has been (or upon delivery will have been) duly executed by the Company and, when delivered in accordance with the terms hereof and thereof, will constitute the valid and binding obligation of the Company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Issuance of Exchanged Securities</w:t>
      </w:r>
      <w:r>
        <w:rPr>
          <w:rFonts w:ascii="Times New Roman;Times;Serif" w:hAnsi="Times New Roman;Times;Serif"/>
          <w:b w:val="false"/>
          <w:i w:val="false"/>
          <w:caps w:val="false"/>
          <w:smallCaps w:val="false"/>
          <w:sz w:val="20"/>
        </w:rPr>
        <w:t>. The Exchanged Securities have been duly authorized and, when issued in accordance with the terms of this Agreement, the Exchanged Note will be validly issued and will constitute the valid and binding obligation of the Company, enforceable against it in accordance with its terms, free and clear of any liens or other encumbrances (collectively,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The Conversion Shares, when issued in accordance with the terms of the Exchanged Note, will be validly issued, fully paid and nonassessable shares of Common Stock. Upon issuance in accordance herewith and in accordance with the Exchanged Note, as applicable, the issuance by the Company of the Exchanged Note is, and the issuance by the Company of the Conversion Shares will be, exempt from the registration requirements of the Securities Act under Section 3(a)(9)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the issuance of the Exchanged Securities and the consummation by it of the transactions contemplated hereby and thereby do not and will not conflict with or violate any provision of the Company’s certificate of incorporation, bylaws or other organizational or charter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Acknowledgment Regarding the Exchange</w:t>
      </w:r>
      <w:r>
        <w:rPr>
          <w:rFonts w:ascii="Times New Roman;Times;Serif" w:hAnsi="Times New Roman;Times;Serif"/>
          <w:b w:val="false"/>
          <w:i w:val="false"/>
          <w:caps w:val="false"/>
          <w:smallCaps w:val="false"/>
          <w:sz w:val="20"/>
        </w:rPr>
        <w:t>. The Company acknowledges and agrees that the Holder is acting solely in the capacity of an arm’s length third party with respect to this Agreement and the transactions contemplated hereby. The Company further acknowledges the Holder is not acting as a financial advisor or fiduciary of the Company (or in any similar capacity) with respect to this Agreement and the transactions contemplated hereby, and any advice given by the Holder or any of its representatives or agents in connection with this Agreement is merely incidental to the Exchange.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No Commission; No Other Consideration</w:t>
      </w:r>
      <w:r>
        <w:rPr>
          <w:rFonts w:ascii="Times New Roman;Times;Serif" w:hAnsi="Times New Roman;Times;Serif"/>
          <w:b w:val="false"/>
          <w:i w:val="false"/>
          <w:caps w:val="false"/>
          <w:smallCaps w:val="false"/>
          <w:sz w:val="20"/>
        </w:rPr>
        <w:t>. The Company has not paid or given, and has not agreed to pay or give, directly or indirectly, any commission or other remuneration for soliciting the Exchange. The Exchanged Securities are being conveyed exclusively for the exchange of the Original Securities and no other consideration has been or will be paid for the Exchanged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3(a)(9) Representation</w:t>
      </w:r>
      <w:r>
        <w:rPr>
          <w:rFonts w:ascii="Times New Roman;Times;Serif" w:hAnsi="Times New Roman;Times;Serif"/>
          <w:b w:val="false"/>
          <w:i w:val="false"/>
          <w:caps w:val="false"/>
          <w:smallCaps w:val="false"/>
          <w:sz w:val="20"/>
        </w:rPr>
        <w:t>. The Company has not, nor has any Person acting on its behalf, directly or indirectly made any offers or sales of any security or solicited any offers to buy any security under circumstances that would cause the Exchange and the issuance of the Exchanged Securities pursuant to this Agreement to be integrated with prior offerings by the Company for purposes of the Securities Act which would prevent the Company from delivering the Exchanged Securities to the Holder pursuant to Section 3(a)(9) of the Securities Act, nor will the Company take any action or steps that would cause the Exchange, issuance and delivery of the Exchanged Securities to be integrated with other offerings to the effect that the delivery of the Exchanged Securities to the Holder would be seen not to be exempt pursuant to Section 3(a)(9) of the Securities Act. As used in this Agreement,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No Third-Party Advisors</w:t>
      </w:r>
      <w:r>
        <w:rPr>
          <w:rFonts w:ascii="Times New Roman;Times;Serif" w:hAnsi="Times New Roman;Times;Serif"/>
          <w:b w:val="false"/>
          <w:i w:val="false"/>
          <w:caps w:val="false"/>
          <w:smallCaps w:val="false"/>
          <w:sz w:val="20"/>
        </w:rPr>
        <w:t>. Other than legal counsel, the Company has not engaged any third parties to assist in the solicitation or transaction with respect to the Exchange.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including pursuant to Section 13(a) or 15(d) of the Exchange Act,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[Reserved.].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Other than pursuant to the terms of the warrants to purchase shares of Common Stock issued by the Company on June 8, 2026,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Agreement.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As of the date hereof, the authorized capital stock of the Company consists of 405,000,000 shares of capital stock consisting of 400,000,000 shares of Common Stock, and 5,000,000 shares of undesignated preferred stock, par value $0.001 per share. As of the date hereof, the Company has (i) 9,094,159 shares of Common Stock issued and outstanding, (ii) no shares of preferred stock are issued and outstanding, (iii) warrants to purchase 833,333 shares of Common Stock, and (iv) securities issued by the Company that are convertible into 648,462 shares of Common Stock. No Person has any right of first refusal, preemptive right, right of participation, or any similar right to participate in the transactions contemplated by this Agreement.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Convertible Securities of the Company. The issuance of the Exchanged Securities will not obligate the Company to issue shares of Common Stock or other securities to any Person (other than the holder thereof) and will not result in a right of any holder of Company securities to adjust the exercise, conversion, exchange or reset price under any of such securities.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of the Exchanged Securities. There are no stockholders’ agreements or other similar agreements with respect to the Company’s capital stock to which the Company is a party or, to the knowledge of the Company, between or among any of the Company’s stockholders. As used herein, “</w:t>
      </w:r>
      <w:r>
        <w:rPr>
          <w:rFonts w:ascii="Times New Roman;Times;Serif" w:hAnsi="Times New Roman;Times;Serif"/>
          <w:b w:val="false"/>
          <w:i w:val="false"/>
          <w:caps w:val="false"/>
          <w:smallCaps w:val="false"/>
          <w:sz w:val="20"/>
          <w:u w:val="single"/>
        </w:rPr>
        <w:t>Convertible Security</w:t>
      </w:r>
      <w:r>
        <w:rPr>
          <w:rFonts w:ascii="Times New Roman;Times;Serif" w:hAnsi="Times New Roman;Times;Serif"/>
          <w:b w:val="false"/>
          <w:i w:val="false"/>
          <w:caps w:val="false"/>
          <w:smallCaps w:val="false"/>
          <w:sz w:val="20"/>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Shell Company Status</w:t>
      </w:r>
      <w:r>
        <w:rPr>
          <w:rFonts w:ascii="Times New Roman;Times;Serif" w:hAnsi="Times New Roman;Times;Serif"/>
          <w:b w:val="false"/>
          <w:i w:val="false"/>
          <w:caps w:val="false"/>
          <w:smallCaps w:val="false"/>
          <w:sz w:val="20"/>
        </w:rPr>
        <w:t>. The Company is not currently, and within the past three years has not been, an issuer identified in Rule 144(i)(1)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DTC Eligibility.</w:t>
      </w:r>
      <w:r>
        <w:rPr>
          <w:rFonts w:ascii="Times New Roman;Times;Serif" w:hAnsi="Times New Roman;Times;Serif"/>
          <w:b w:val="false"/>
          <w:i w:val="false"/>
          <w:caps w:val="false"/>
          <w:smallCaps w:val="false"/>
          <w:sz w:val="20"/>
        </w:rPr>
        <w:t xml:space="preserve"> The Company, through its transfer agent, currently participates in the DTC Fast Automated Securities Transfer (FAST) Program and shares of Common Stock can be transferred electronically to third parties via the DTC Fast Automated Securities Transfer (FAST) Program.</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Exchanged Securities contemplated by this Agreement,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 which for purposes of this Agreement, Trading Day shall refer to any day on which the NYSE American (the “</w:t>
      </w:r>
      <w:r>
        <w:rPr>
          <w:rFonts w:ascii="Times New Roman;Times;Serif" w:hAnsi="Times New Roman;Times;Serif"/>
          <w:b w:val="false"/>
          <w:i w:val="false"/>
          <w:caps w:val="false"/>
          <w:smallCaps w:val="false"/>
          <w:sz w:val="20"/>
          <w:u w:val="single"/>
        </w:rPr>
        <w:t>Principal Market</w:t>
      </w:r>
      <w:r>
        <w:rPr>
          <w:rFonts w:ascii="Times New Roman;Times;Serif" w:hAnsi="Times New Roman;Times;Serif"/>
          <w:b w:val="false"/>
          <w:i w:val="false"/>
          <w:caps w:val="false"/>
          <w:smallCaps w:val="false"/>
          <w:sz w:val="20"/>
        </w:rPr>
        <w:t>”) is open for trading business. As used in this Agreement,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Other than as set forth in the SEC Reports, there is no action, suit, inquiry, notice of violation, proceeding or investigation pending or, to the knowledge of the Company, threatened against or affecting the Company or any of its properties before or by any court, arbitrator, governmental or administrative agency or regulatory authority (federal, state, county, local or foreign) which (i) adversely affects or challenges the legality, validity or enforceability of any of this Agreement or (ii) could, if there were an unfavorable decision,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2.17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xml:space="preserve">. Except as set forth in the SEC Reports and on </w:t>
      </w:r>
      <w:r>
        <w:rPr>
          <w:rFonts w:ascii="Times New Roman;Times;Serif" w:hAnsi="Times New Roman;Times;Serif"/>
          <w:b w:val="false"/>
          <w:i w:val="false"/>
          <w:caps w:val="false"/>
          <w:smallCaps w:val="false"/>
          <w:sz w:val="20"/>
          <w:u w:val="single"/>
        </w:rPr>
        <w:t>Schedule 2.17</w:t>
      </w:r>
      <w:r>
        <w:rPr>
          <w:rFonts w:ascii="Times New Roman;Times;Serif" w:hAnsi="Times New Roman;Times;Serif"/>
          <w:b w:val="false"/>
          <w:i w:val="false"/>
          <w:caps w:val="false"/>
          <w:smallCaps w:val="false"/>
          <w:sz w:val="20"/>
        </w:rPr>
        <w:t>, neither the Company nor any Subsidiary: (i) is in material default under or in material violation of (and no event has occurred that has not been waived that, with notice or lapse of time or both, would result in a material default by the Company or any Subsidiary under), nor has the Company or any Subsidiary received notice of a claim that it is in material default under or that it is in material violation of, any indenture, loan or credit agreement or any other agreement or instrument set forth in the Company’s most recent Annual Report on Form 10-K to which it is a party or by which it or any of its properties is bound (whether or not such default or violation has been waived), (ii) is in material violation of any judgment, decree or order of any court, arbitrator or other governmental authority or (iii) to its knowledge, is or has been in violation of any statute, rule, ordinance or regulation of any governmental authority, including without limitation all foreign, federal, state and local laws relating to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2.18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(“Material Permits”), and neither the Company nor any Subsidiary has received any notice of proceedings relating to the revocation or modification of any Material Permit.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2.19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No brokerage or finder’s fees or commissions are or will be payable by the Company or any Subsidiaries to any broker, financial advisor or consultant, finder, placement agent, investment banker, bank or other Person with respect to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Holder’s representations and warranties set forth in Section 3, neither the Company, nor any of its Affiliates, nor any Person acting on their behalf has, directly or indirectly, made any offers or sales of any security or solicited any offers to buy any security, under circumstances that would cause the Exchange to be integrated with prior offerings by the Company for purposes of (i) the Securities Act which would require the registration of any such securities under the Securities Act, or (ii) any applicable shareholder approval provisions of the Principal Market on which any of the securities of the Company are listed or designated.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Acknowledgment Regarding Holder’s Exchange of the Original Securities.</w:t>
      </w:r>
      <w:r>
        <w:rPr>
          <w:rFonts w:ascii="Times New Roman;Times;Serif" w:hAnsi="Times New Roman;Times;Serif"/>
          <w:b w:val="false"/>
          <w:i w:val="false"/>
          <w:caps w:val="false"/>
          <w:smallCaps w:val="false"/>
          <w:sz w:val="20"/>
        </w:rPr>
        <w:t xml:space="preserve"> The Company acknowledges and agrees that the Holder is acting solely in the capacity of an arm’s length party with respect to this Agreement and the transactions contemplated thereby.</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Representations and Warranties of the Holder</w:t>
      </w:r>
      <w:r>
        <w:rPr>
          <w:rFonts w:ascii="Times New Roman;Times;Serif" w:hAnsi="Times New Roman;Times;Serif"/>
          <w:b w:val="false"/>
          <w:i w:val="false"/>
          <w:caps w:val="false"/>
          <w:smallCaps w:val="false"/>
          <w:sz w:val="20"/>
        </w:rPr>
        <w:t>. The Holder represents and warrants to the Company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Ownership of the Original Securities</w:t>
      </w:r>
      <w:r>
        <w:rPr>
          <w:rFonts w:ascii="Times New Roman;Times;Serif" w:hAnsi="Times New Roman;Times;Serif"/>
          <w:b w:val="false"/>
          <w:i w:val="false"/>
          <w:caps w:val="false"/>
          <w:smallCaps w:val="false"/>
          <w:sz w:val="20"/>
        </w:rPr>
        <w:t>. The Holder is the legal and beneficial owner of the Original Securities. The Holder paid for the Original Securities and has continuously held the Original Securities since its purchase. The Holder owns the Original Securities outright and free and clear of any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No Public Sale or Distribution</w:t>
      </w:r>
      <w:r>
        <w:rPr>
          <w:rFonts w:ascii="Times New Roman;Times;Serif" w:hAnsi="Times New Roman;Times;Serif"/>
          <w:b w:val="false"/>
          <w:i w:val="false"/>
          <w:caps w:val="false"/>
          <w:smallCaps w:val="false"/>
          <w:sz w:val="20"/>
        </w:rPr>
        <w:t>. The Holder is acquiring the Exchanged Securities in the ordinary course of business for its own account and not with a view toward, or for resale in connection with, the public sale or distribution thereof; provided, however, that by making the representations herein, the Holder does not agree to hold any of the Exchanged Securities, for any minimum or other specific term and reserves the right to dispose of the Exchanged Securities at any time in accordance with an exemption from the registration requirements of the Securities Act and applicable state securities laws. Except as contemplated herein, the Holder does not presently have any agreement or understanding, directly or indirectly, with any person to distribute, or transfer any interest or grant participation rights in, the Exchanged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Accredited Investor and Affiliate Status</w:t>
      </w:r>
      <w:r>
        <w:rPr>
          <w:rFonts w:ascii="Times New Roman;Times;Serif" w:hAnsi="Times New Roman;Times;Serif"/>
          <w:b w:val="false"/>
          <w:i w:val="false"/>
          <w:caps w:val="false"/>
          <w:smallCaps w:val="false"/>
          <w:sz w:val="20"/>
        </w:rPr>
        <w:t>. The Holder is an “accredited investor” as that term is defined in Rule 501 of Regulation D under the Securities Act. The Holder is not, and has not been, for a period of at least three months prior to the date of this Agreement (a) an officer or director of the Company, (b) an “affiliate” of the Company (as defined in Rule 144) or (c) a “beneficial owner” of more than ten percent (10%) of shares of Common Stock (as defined for purposes of Rule 13d-3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The Holder understands that the Exchange is being made in reliance on specific exemptions from the registration requirements of United States federal and state securities laws and that the Company is relying in part upon the truth and accuracy of, and the Holder’s compliance with, the representations, warranties, agreements, acknowledgments and understandings of the Holder set forth herein in order to determine the availability of such exemptions and the eligibility of the Holder to complete the Exchange and to acquire the Exchanged Securities.</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Holder has been furnished with all materials relating to the business, finances and operations of the Company and materials relating to the Exchange which have been requested by the Holder. The Holder has been afforded the opportunity to ask questions of the Company. Neither such inquiries nor any other due diligence investigations conducted by the Holder or its representatives shall modify, amend or affect the Holder’s right to rely on the Company’s representations and warranties contained herein. The Holder acknowledges that all of the documents filed by the Company with the SEC under Sections 13(a), 14(a) or 15(d) of the Exchange Act that have been posted on the SEC’s EDGAR site are available to the Holder, and the Holder has not relied on any statement of the Company not contained in such documents in connection with the Holder’s decision to enter into this Agreement and the Exchange.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Risk</w:t>
      </w:r>
      <w:r>
        <w:rPr>
          <w:rFonts w:ascii="Times New Roman;Times;Serif" w:hAnsi="Times New Roman;Times;Serif"/>
          <w:b w:val="false"/>
          <w:i w:val="false"/>
          <w:caps w:val="false"/>
          <w:smallCaps w:val="false"/>
          <w:sz w:val="20"/>
        </w:rPr>
        <w:t>. The Holder understands that its investment in the Exchanged Securities involves a high degree of risk. The Holder is able to bear the risk of an investment in the Exchanged Securities including, without limitation, the risk of total loss of its investment. The Holder has sought such accounting, legal and tax advice as it has considered necessary to make an informed investment decision with respect to the Exchange.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No Governmental Review</w:t>
      </w:r>
      <w:r>
        <w:rPr>
          <w:rFonts w:ascii="Times New Roman;Times;Serif" w:hAnsi="Times New Roman;Times;Serif"/>
          <w:b w:val="false"/>
          <w:i w:val="false"/>
          <w:caps w:val="false"/>
          <w:smallCaps w:val="false"/>
          <w:sz w:val="20"/>
        </w:rPr>
        <w:t>. The Holder understands that no United States federal or state agency or any other government or governmental agency has passed on or made any recommendation or endorsement in connection with the Exchange or the fairness or suitability of the investment in the Exchanged Securities nor have such authorities passed upon or endorsed the merits of the Exchanged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Organization; Authority; Validity; Enforcement</w:t>
      </w:r>
      <w:r>
        <w:rPr>
          <w:rFonts w:ascii="Times New Roman;Times;Serif" w:hAnsi="Times New Roman;Times;Serif"/>
          <w:b w:val="false"/>
          <w:i w:val="false"/>
          <w:caps w:val="false"/>
          <w:smallCaps w:val="false"/>
          <w:sz w:val="20"/>
        </w:rPr>
        <w:t>. The Holder is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this Agreement and otherwise to carry out its obligations hereunder and thereunder. The execution and delivery of this Agreement and performance by the Holder of the transactions contemplated by this Agreement has been duly authorized by all necessary corporate, partnership, limited liability company or similar action, as applicable, on the part of the Holder. This Agreement has been duly executed by the Holder, and when delivered by the Holder in accordance with the terms hereof, will constitute the valid and legally binding obligation of the Holder, enforceable against the Holder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The execution, delivery and performance of this Agreement by the Holder and the consummation by the Holder of the transactions contemplated hereby (including, without limitation, the irrevocable surrender of the Original Securities) will not result in a violation of the organizational documents of the Holder if the Holder is an entity.</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Prior Investment Experience</w:t>
      </w:r>
      <w:r>
        <w:rPr>
          <w:rFonts w:ascii="Times New Roman;Times;Serif" w:hAnsi="Times New Roman;Times;Serif"/>
          <w:b w:val="false"/>
          <w:i w:val="false"/>
          <w:caps w:val="false"/>
          <w:smallCaps w:val="false"/>
          <w:sz w:val="20"/>
        </w:rPr>
        <w:t>. The Holder acknowledges that it has prior investment experience, including investment in securities of the type being exchanged, including the Original Securities and the Exchanged Securities, and has read all of the documents furnished or made available by the Company to it and is able to evaluate the merits and risks of such an investment on its behalf, and that it recognizes the highly speculative nature of this investment.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Tax Consequences</w:t>
      </w:r>
      <w:r>
        <w:rPr>
          <w:rFonts w:ascii="Times New Roman;Times;Serif" w:hAnsi="Times New Roman;Times;Serif"/>
          <w:b w:val="false"/>
          <w:i w:val="false"/>
          <w:caps w:val="false"/>
          <w:smallCaps w:val="false"/>
          <w:sz w:val="20"/>
        </w:rPr>
        <w:t>. The Holder acknowledges that the Company has made no representation regarding the potential or actual tax consequences for the Holder which will result from entering into the Agreement and from consummation of the Exchange. The Holder acknowledges that it bears complete responsibility for obtaining adequate tax advice regarding the Agreement and the Exchange.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No Registration, Review or Approval</w:t>
      </w:r>
      <w:r>
        <w:rPr>
          <w:rFonts w:ascii="Times New Roman;Times;Serif" w:hAnsi="Times New Roman;Times;Serif"/>
          <w:b w:val="false"/>
          <w:i w:val="false"/>
          <w:caps w:val="false"/>
          <w:smallCaps w:val="false"/>
          <w:sz w:val="20"/>
        </w:rPr>
        <w:t>. The Holder acknowledges, understands and agrees that the Original Securities are being exchanged hereunder pursuant to an exemption from the registration requirements of the Securities Act under Section 3(a)(9)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Conditions Precedent to Obligations of the Company</w:t>
      </w:r>
      <w:r>
        <w:rPr>
          <w:rFonts w:ascii="Times New Roman;Times;Serif" w:hAnsi="Times New Roman;Times;Serif"/>
          <w:b w:val="false"/>
          <w:i w:val="false"/>
          <w:caps w:val="false"/>
          <w:smallCaps w:val="false"/>
          <w:sz w:val="20"/>
        </w:rPr>
        <w:t>. The obligation of the Company to consummate the transactions contemplated by this Agreement is subject to the satisfaction of each of the following conditions, provided that these conditions are for the Company’s sole benefit and may be waived by the Company at any time in its sole discretion by providing the Holder with prior written notice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No Prohibition</w:t>
      </w:r>
      <w:r>
        <w:rPr>
          <w:rFonts w:ascii="Times New Roman;Times;Serif" w:hAnsi="Times New Roman;Times;Serif"/>
          <w:b w:val="false"/>
          <w:i w:val="false"/>
          <w:caps w:val="false"/>
          <w:smallCaps w:val="false"/>
          <w:sz w:val="20"/>
        </w:rPr>
        <w:t>. No order of any court, arbitrator, or governmental or regulatory authority shall be in effect which purports to enjoin or restrain any of the transactions contemplated by this Agreement;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The accuracy in all material respects when made and on the Closing Date of the representations and warranties of the Holder contained herein (unless as of a specific date referenced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Conditions Precedent to Obligations of the Holder</w:t>
      </w:r>
      <w:r>
        <w:rPr>
          <w:rFonts w:ascii="Times New Roman;Times;Serif" w:hAnsi="Times New Roman;Times;Serif"/>
          <w:b w:val="false"/>
          <w:i w:val="false"/>
          <w:caps w:val="false"/>
          <w:smallCaps w:val="false"/>
          <w:sz w:val="20"/>
        </w:rPr>
        <w:t>. The obligation of the Holder to consummate the transactions contemplated by this Agreement is subject to the satisfaction of each of the following conditions, provided that these conditions are for the Holder’ sole benefit and may be waived by the Holder at any time in its sole discretion by providing the Company with prior written notice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No Prohibition</w:t>
      </w:r>
      <w:r>
        <w:rPr>
          <w:rFonts w:ascii="Times New Roman;Times;Serif" w:hAnsi="Times New Roman;Times;Serif"/>
          <w:b w:val="false"/>
          <w:i w:val="false"/>
          <w:caps w:val="false"/>
          <w:smallCaps w:val="false"/>
          <w:sz w:val="20"/>
        </w:rPr>
        <w:t>. No order of any court, arbitrator, or governmental or regulatory authority shall be in effect which purports to enjoin or restrain any of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The representations and warranties of the Company (i) shall be true and correct in all material respects when made and on the Closing Date (unless as of a specific date referenced therein) for such representations and warranties contained herein that are not qualified by “materiality” or “Material Adverse Effect” and (ii) shall be true and correct when made and on the Closing Date (unless as of a specific date referenced therein) for such representations and warranties contained herein that are qualified by “materiality” or “Material Adverse Effect”;</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xml:space="preserve">. The Company shall have delivered to its transfer agent the irrevocable transfer agent instructions contemplated by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All Obligations</w:t>
      </w:r>
      <w:r>
        <w:rPr>
          <w:rFonts w:ascii="Times New Roman;Times;Serif" w:hAnsi="Times New Roman;Times;Serif"/>
          <w:b w:val="false"/>
          <w:i w:val="false"/>
          <w:caps w:val="false"/>
          <w:smallCaps w:val="false"/>
          <w:sz w:val="20"/>
        </w:rPr>
        <w:t>. All obligations, covenants and agreements of the Company required to be performed at or prior to the Closing Date shall have been performed;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From the date hereof to the Closing Date, trading in the Common Stock shall not have been suspended by the SEC or any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Holder makes it impracticable or inadvisable to purchase the Exchanged Securities at the closing. As used herein, “</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shall mean the Nasdaq Capital Market, the New York Stock Exchange, the NYSE American, the Nasdaq Global Select Market, or the Nasdaq Global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Other Agreements between the 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Exchange of the Original Securities in a manner that would require the registration under the Securities Act of the sale of the Exchanged Securities or that would be integrated with the offer of the Exchanged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the Exchanged Securities are mutilated, lost, stolen or destroyed, the Company shall convey or cause to be conveyed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On the Closing Date, the Company shall reimburse the Holder in the amount of $35,000.00 for all reasonable fees, costs, and expenses, including attorneys’ fees and expenses, incurred by the Holder to date in connection with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The Company shall provide each stockholder entitled to vote at a meeting of stockholders of the Company (the “</w:t>
      </w:r>
      <w:r>
        <w:rPr>
          <w:rFonts w:ascii="Times New Roman;Times;Serif" w:hAnsi="Times New Roman;Times;Serif"/>
          <w:b w:val="false"/>
          <w:i w:val="false"/>
          <w:caps w:val="false"/>
          <w:smallCaps w:val="false"/>
          <w:sz w:val="20"/>
          <w:u w:val="single"/>
        </w:rPr>
        <w:t>Stockholder Meeting</w:t>
      </w:r>
      <w:r>
        <w:rPr>
          <w:rFonts w:ascii="Times New Roman;Times;Serif" w:hAnsi="Times New Roman;Times;Serif"/>
          <w:b w:val="false"/>
          <w:i w:val="false"/>
          <w:caps w:val="false"/>
          <w:smallCaps w:val="false"/>
          <w:sz w:val="20"/>
        </w:rPr>
        <w:t>”), which shall be promptly called and held not later than sixty (60) calendar days after the Closing Date (the “</w:t>
      </w:r>
      <w:r>
        <w:rPr>
          <w:rFonts w:ascii="Times New Roman;Times;Serif" w:hAnsi="Times New Roman;Times;Serif"/>
          <w:b w:val="false"/>
          <w:i w:val="false"/>
          <w:caps w:val="false"/>
          <w:smallCaps w:val="false"/>
          <w:sz w:val="20"/>
          <w:u w:val="single"/>
        </w:rPr>
        <w:t>Stockholder Meeting Deadline</w:t>
      </w:r>
      <w:r>
        <w:rPr>
          <w:rFonts w:ascii="Times New Roman;Times;Serif" w:hAnsi="Times New Roman;Times;Serif"/>
          <w:b w:val="false"/>
          <w:i w:val="false"/>
          <w:caps w:val="false"/>
          <w:smallCaps w:val="false"/>
          <w:sz w:val="20"/>
        </w:rPr>
        <w:t>”), a proxy statement, in each case, in a form reasonably acceptable to the Holder and its counsel, at the expense of the Company, with the Company obligated to reimburse the expenses of the Holder’s counsel incurred in connection therewith. The proxy statement, if any, shall solicit each of the Company’s stockholders’ affirmative vote at the Stockholder Meeting for approval of a resolution providing for the approval of the issuance of all of the Exchanged Securities in compliance with the rules and regulations of the Principal Market, without regard to any limitations on conversion set forth in the Exchanged Note (such affirmative approval being referred to herein as the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and the date such Stockholder Approval is obtained, the “</w:t>
      </w:r>
      <w:r>
        <w:rPr>
          <w:rFonts w:ascii="Times New Roman;Times;Serif" w:hAnsi="Times New Roman;Times;Serif"/>
          <w:b w:val="false"/>
          <w:i w:val="false"/>
          <w:caps w:val="false"/>
          <w:smallCaps w:val="false"/>
          <w:sz w:val="20"/>
          <w:u w:val="single"/>
        </w:rPr>
        <w:t>Stockholder Approval Date</w:t>
      </w:r>
      <w:r>
        <w:rPr>
          <w:rFonts w:ascii="Times New Roman;Times;Serif" w:hAnsi="Times New Roman;Times;Serif"/>
          <w:b w:val="false"/>
          <w:i w:val="false"/>
          <w:caps w:val="false"/>
          <w:smallCaps w:val="false"/>
          <w:sz w:val="20"/>
        </w:rPr>
        <w:t>”), and the Company shall use its reasonable best efforts to solicit its stockholders’ approval of such resolution and to cause the board of directors of the Company to recommend to the stockholders that they approve such resolution. The Company shall be obligated to seek to obtain the Stockholder Approval by the Stockholder Meeting Deadline. If, despite the Company’s reasonable best efforts the Stockholder Approval is not obtained by such Stockholder Meeting Deadline, the Company shall adjourn and reconvene the Stockholder Meeting at least as often as every thirty (30) calendar days thereafter until such Stockholder Approval is obtained, but in no event later than the three hundred and sixty-fifth (365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calendar day after the Closing Date. Notwithstanding the foregoing, if the Company is able to obtain the written consent of holders of a majority of the shares of its issued and outstanding Common Stock to obtain the Stockholder Approval (the “</w:t>
      </w:r>
      <w:r>
        <w:rPr>
          <w:rFonts w:ascii="Times New Roman;Times;Serif" w:hAnsi="Times New Roman;Times;Serif"/>
          <w:b w:val="false"/>
          <w:i w:val="false"/>
          <w:caps w:val="false"/>
          <w:smallCaps w:val="false"/>
          <w:sz w:val="20"/>
          <w:u w:val="single"/>
        </w:rPr>
        <w:t>Stockholder Consent</w:t>
      </w:r>
      <w:r>
        <w:rPr>
          <w:rFonts w:ascii="Times New Roman;Times;Serif" w:hAnsi="Times New Roman;Times;Serif"/>
          <w:b w:val="false"/>
          <w:i w:val="false"/>
          <w:caps w:val="false"/>
          <w:smallCaps w:val="false"/>
          <w:sz w:val="20"/>
        </w:rPr>
        <w:t>”), the Company may satisfy its obligations under this Section 6.4 by obtaining such consent and submitting for filing with the Commission a Preliminary Information Statement on Schedule 14C no later than ten (10) calendar days following the Closing Date, followed by a Definitive Information Statement on Schedule 14C no later than the timeline for such filing prescribed by the Exchange Act; provided however, that if the Company receives a notification from the Principal Market that the Stockholder Consent must be modified, then the Company shall use its best efforts to provide a new Stockholder Consent.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No Group</w:t>
      </w:r>
      <w:r>
        <w:rPr>
          <w:rFonts w:ascii="Times New Roman;Times;Serif" w:hAnsi="Times New Roman;Times;Serif"/>
          <w:b w:val="false"/>
          <w:i w:val="false"/>
          <w:caps w:val="false"/>
          <w:smallCaps w:val="false"/>
          <w:sz w:val="20"/>
        </w:rPr>
        <w:t>. The Holder is not under common control with or acting in concert with any Other Holder of securities issued pursuant to the Securities Purchase Agreement and is not part of a “group” for purposes of the Exchange Act in connection with the transactions contemplated by this Agreement. The Company acknowledges and agrees that (i) the Company has not been advised, and does not believe, that the Holder is acting in concert or as part of a “group” (within the meaning of Section 13(d) of the Exchange Act and Rule 13d-5 thereunder) with any Other Holder; (ii) the entry by the Holder and any Other Holder into any Exchange Agreement or Other Exchange Agreements, and the allocation of the Exchange Cap (as defined in the Exchanged Note) among Holders, on a pro rata basis, shall not be deemed to constitute concerted action or the formation of a “group”; and (iii) the Company shall not take any position to the contrary in any filing, statement, announcement or proceeding.</w:t>
      </w:r>
    </w:p>
    <w:p>
      <w:pPr>
        <w:pStyle w:val="TextBody"/>
        <w:bidi w:val="0"/>
        <w:spacing w:before="0" w:after="0"/>
        <w:ind w:left="720" w:right="0" w:firstLine="81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720" w:right="0" w:firstLine="81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Issuance Capacity</w:t>
      </w:r>
      <w:r>
        <w:rPr>
          <w:rFonts w:ascii="Times New Roman;Times;Serif" w:hAnsi="Times New Roman;Times;Serif"/>
          <w:b w:val="false"/>
          <w:i w:val="false"/>
          <w:caps w:val="false"/>
          <w:smallCaps w:val="false"/>
          <w:sz w:val="20"/>
        </w:rPr>
        <w:t>. The Company hereby covenants and agrees that, as of the date hereof, the Company has the ability to issue up to such aggregate number of Conversion Shares to the Holders equal to 19.99% of its outstanding shares of Common Stock in compliance with the applicable rules and regulations of the Principal Market without obtaining any stockholder approval. The Company further covenants and agrees that the limitation is reserved exclusively for issuances contemplated under this Agreement (and the Other Exchange Agreements) and shall not be reduced, diminished, consumed, or otherwise encumbered by any other issuance of Common Stock or securities convertible into or exercisable for Common Stock by the Company, whether pursuant to any at-the-market offering program, equity line of credit facility, registered direct offering, shelf takedown, or any other registered or exempt offering, private placement, equity compensation plan, or other transaction, in each case, whether existing as of the date hereof or entered into after the date hereof.</w:t>
      </w:r>
    </w:p>
    <w:p>
      <w:pPr>
        <w:pStyle w:val="TextBody"/>
        <w:bidi w:val="0"/>
        <w:spacing w:before="0" w:after="0"/>
        <w:ind w:left="720" w:right="0" w:firstLine="81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xml:space="preserve">. In connection with the Exchange, the Holder acknowledges and agrees that it has waived the defaults listed on </w:t>
      </w:r>
      <w:r>
        <w:rPr>
          <w:rFonts w:ascii="Times New Roman;Times;Serif" w:hAnsi="Times New Roman;Times;Serif"/>
          <w:b w:val="false"/>
          <w:i w:val="false"/>
          <w:caps w:val="false"/>
          <w:smallCaps w:val="false"/>
          <w:sz w:val="20"/>
          <w:u w:val="single"/>
        </w:rPr>
        <w:t>Schedule 2.17</w:t>
      </w:r>
      <w:r>
        <w:rPr>
          <w:rFonts w:ascii="Times New Roman;Times;Serif" w:hAnsi="Times New Roman;Times;Serif"/>
          <w:b w:val="false"/>
          <w:i w:val="false"/>
          <w:caps w:val="false"/>
          <w:smallCaps w:val="false"/>
          <w:sz w:val="20"/>
        </w:rPr>
        <w:t xml:space="preserve"> under the Original Securities. With respect to the Exchanged Note, the Holder waives compliance with Section 4(a)(xvii) thereof from the Closing Date through and including December 31, 2026, after which date Section 4(a)(xvii) shall apply in full without further action by any Person; and the parties acknowledge that Section 4(a)(xvi) of the Original Securities has been deleted from the Exchanged Note. For the avoidance of doubt, (i) all Interest accrued at the Default Rate on the Original Securities from and including August 14, 2026 through and including the Closing Date is included in the Accrued Interest Amount and is not waived, released or reduced, and (ii) interest shall cease to accrue at the Default Rate as of the Closing Date with respect to the defaults listed on </w:t>
      </w:r>
      <w:r>
        <w:rPr>
          <w:rFonts w:ascii="Times New Roman;Times;Serif" w:hAnsi="Times New Roman;Times;Serif"/>
          <w:b w:val="false"/>
          <w:i w:val="false"/>
          <w:caps w:val="false"/>
          <w:smallCaps w:val="false"/>
          <w:sz w:val="20"/>
          <w:u w:val="single"/>
        </w:rPr>
        <w:t>Schedule 2.17</w:t>
      </w:r>
      <w:r>
        <w:rPr>
          <w:rFonts w:ascii="Times New Roman;Times;Serif" w:hAnsi="Times New Roman;Times;Serif"/>
          <w:b w:val="false"/>
          <w:i w:val="false"/>
          <w:caps w:val="false"/>
          <w:smallCaps w:val="false"/>
          <w:sz w:val="20"/>
        </w:rPr>
        <w:t xml:space="preserve">, provided that if any failure to comply with Section 4(a)(xvii) of the Exchanged Note exists or is continuing after December 31, 2026, Interest shall accrue at the Default Rate from and after such date until cured or waived in writing. The waiver contemplated by this </w:t>
      </w:r>
      <w:r>
        <w:rPr>
          <w:rFonts w:ascii="Times New Roman;Times;Serif" w:hAnsi="Times New Roman;Times;Serif"/>
          <w:b w:val="false"/>
          <w:i w:val="false"/>
          <w:caps w:val="false"/>
          <w:smallCaps w:val="false"/>
          <w:sz w:val="20"/>
          <w:u w:val="single"/>
        </w:rPr>
        <w:t>Section 6.7</w:t>
      </w:r>
      <w:r>
        <w:rPr>
          <w:rFonts w:ascii="Times New Roman;Times;Serif" w:hAnsi="Times New Roman;Times;Serif"/>
          <w:b w:val="false"/>
          <w:i w:val="false"/>
          <w:caps w:val="false"/>
          <w:smallCaps w:val="false"/>
          <w:sz w:val="20"/>
        </w:rPr>
        <w:t xml:space="preserve"> constitutes a one-time waiver and is limited to the matters expressly waived herein and should not be construed as an indication that the Holder would be willing to agree to any future modifications to, consent of, or waiver of any of the terms of any other agreement, instrument or security or any modifications to, consents of, or waiver of any default that may exist or occur thereunder.</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Governing Law; Jurisdiction; Waiver of Jury Trial</w:t>
      </w:r>
      <w:r>
        <w:rPr>
          <w:rFonts w:ascii="Times New Roman;Times;Serif" w:hAnsi="Times New Roman;Times;Serif"/>
          <w:b w:val="false"/>
          <w:i w:val="false"/>
          <w:caps w:val="false"/>
          <w:smallCaps w:val="false"/>
          <w:sz w:val="20"/>
        </w:rPr>
        <w:t>. All questions concerning the construction, validity, enforcement and interpretation of this Agreement shall be governed by the internal laws of the State of New York, without giving effect to any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under any of the other Transaction Documents or with any transaction contemplated hereby or thereby,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such Holder or to enforce a judgment or other court ruling in favor of such Holder. EACH PARTY HEREBY IRREVOCABLY WAIVES ANY RIGHT IT MAY HAVE TO, AND AGREES NOT TO REQUEST, A JURY TRIAL FOR THE ADJUDICATION OF ANY DISPUTE HEREUNDER OR UNDER ANY OTHER TRANSACTION DOCUMENT OR IN CONNECTION WITH OR ARISING OUT OF THIS AGREEMENT, ANY OTHER TRANSACTION DOCUMENT OR ANY TRANSACTION CONTEMPLATED HEREBY OR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collectively, this Agreement, the Other Exchange Agreements, the Exchanged Notes, the Irrevocable Transfer Agent Instructions, and each of the other agreements and instruments entered into or delivered by any of the parties hereto in connection with the transactions contemplated hereby and thereby, as may be amended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provided that an electronic signature shall be considered due execution and shall be binding upon the signatory thereto with the same force and effect as if the signature were an original, not an electronic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and shall not form part of, or affect the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supersedes all other prior oral or written agreements between the Holder, the Company, their Affiliates and persons acting on their behalf with respect to the matters discussed herein, and this Agreement and the instruments referenced herein contain the entire understanding of the parties with respect to the matters covered herein and therein. No provision of this Agreement may be amended other than by an instrument in writing signed by the Company and the Holder. No provision hereof may be waived other than by an instrument in writing signed by the party against whom enforcement is sought.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consents, waivers or other communications required or permitted to be given under the terms of this Agreement must be in writing and will be deemed to have been delivered: (a) upon receipt, when delivered personally; (b) upon receipt, when sent by email; or (c) one calendar day (excluding Saturdays, Sundays, and national banking holidays) after deposit with an overnight courier service, in each case properly addressed to the party to receive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addresses and email addresses for such communications shall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Engelhard Drive, Suite B</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New Jersey 08831</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(609) 730-0400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Robert Powers, Chief Financial Officer</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rpowers@oceanpowertech.com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set forth on its signature block.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and/or email address and/or to the attention of such other person as the recipient party has specified by written notice given to each other party five (5) days prior to the effectiveness of such change.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respective successors and assigns, including any purchasers of the Exchanged Securities. Subject to its compliance with applicable federal and state securities laws, the Holder may assign some or all of its rights hereunder without the consent of the Company, in which event such assignee shall be deemed to be the Holder hereunder with respect to such assigned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Survival of Representations</w:t>
      </w:r>
      <w:r>
        <w:rPr>
          <w:rFonts w:ascii="Times New Roman;Times;Serif" w:hAnsi="Times New Roman;Times;Serif"/>
          <w:b w:val="false"/>
          <w:i w:val="false"/>
          <w:caps w:val="false"/>
          <w:smallCaps w:val="false"/>
          <w:sz w:val="20"/>
        </w:rPr>
        <w:t>. The representations and warranties of the Company and the Holder contained in Sections 2 and 3, respectively, will survive the closing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Company shall, on or before 9:30 a.m., New York City time, on the date of this Agreement (provided that if this Agreement is executed after 9:30 a.m., New York City time, then the business day following the date of this Agreement) file with the Commission a Current Report on Form 8-K disclosing all material terms of the transactions contemplated hereby and any other material non-public information provided to the Holder by the Company or any of its Subsidiaries or any of their respective officers, directors, employees, affiliates or agents (the “</w:t>
      </w:r>
      <w:r>
        <w:rPr>
          <w:rFonts w:ascii="Times New Roman;Times;Serif" w:hAnsi="Times New Roman;Times;Serif"/>
          <w:b w:val="false"/>
          <w:i w:val="false"/>
          <w:caps w:val="false"/>
          <w:smallCaps w:val="false"/>
          <w:sz w:val="20"/>
          <w:u w:val="single"/>
        </w:rPr>
        <w:t>Public Disclosure</w:t>
      </w:r>
      <w:r>
        <w:rPr>
          <w:rFonts w:ascii="Times New Roman;Times;Serif" w:hAnsi="Times New Roman;Times;Serif"/>
          <w:b w:val="false"/>
          <w:i w:val="false"/>
          <w:caps w:val="false"/>
          <w:smallCaps w:val="false"/>
          <w:sz w:val="20"/>
        </w:rPr>
        <w:t>”). From and after the filing of the Public Disclosure, the Holder shall not be in possession of any material, non-public information received from the Company or any of its Subsidiaries or any of their respective officers, directors, employees, affiliates or agents, that is not disclosed in the Public Disclosure. The Company shall not, and shall cause its officers, directors, employees, affiliates and agents, not to, provide the Holder with any material, non-public information regarding the Company from and after the filing of the Public Disclosure without the express written consent of the Holder. To the extent that the Company delivers any material, non-public information to the Holder without the Holder’s express prior written consent, the Company hereby covenants and agrees that the Holder shall not have any duty of confidentiality to the Company, any of its Subsidiaries or any of their respective officers, directors, employees, affiliates or agents with respect to, or a duty to the Company, any of its Subsidiaries or any of their respective officers, directors, employees, affiliates or agents not to trade on the basis of, such material, non-public information. The Company shall not disclose the name of the Holder in any filing, announcement, release or otherwise, unless such disclosure is required by law or regulation, provided that the Company shall promptly notify the Holder of such requirement, to the extent permitted by applicable law, so that the Holder may seek a protective order or other appropriate remedy prior to such disclosure. In addition, effective upon the filing of the Public Disclosure, the Company acknowledges and agrees that any and all confidentiality or similar obligations under any agreement, whether written or oral, between the Company, any of its Subsidiaries or any of their respective officers, directors, affiliates, employees or agents, on the one hand, and the Holder or any of its affiliates, on the other hand, shall terminate and be of no further force or effect. The Company understands and confirms that the Holder will rely on the foregoing representations in effecting transactions in securities of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Maximum Payments</w:t>
      </w:r>
      <w:r>
        <w:rPr>
          <w:rFonts w:ascii="Times New Roman;Times;Serif" w:hAnsi="Times New Roman;Times;Serif"/>
          <w:b w:val="false"/>
          <w:i w:val="false"/>
          <w:caps w:val="false"/>
          <w:smallCaps w:val="false"/>
          <w:sz w:val="20"/>
        </w:rPr>
        <w:t>. Notwithstanding anything to the contrary contained in this Agreement or any other Transaction Document (and without implication that the following is required or applicable), it is the intention of the parties that in no event shall amounts and value paid by the Company and/or any of its Subsidiaries (as the case may be), or payable to or received by the Holder, under the Transaction Documents (including without limitation, any amounts that would be characterized as “interest” under applicable law) exceed amounts permitted under any applicable law. Accordingly, if any obligation to pay, payment made to the Holder, or collection by the Holder pursuant the Transaction Documents is finally judicially determined to be contrary to any such applicable law, such obligation to pay, payment or collection shall be deemed to have been made by mutual mistake of the Holder, the Company and its Subsidiaries and such amount shall be deemed to have been adjusted with retroactive effect to the maximum amount or rate of interest, as the case may be, as would not be so prohibited by the applicable law. Such adjustment shall be effected, to the extent necessary, by reducing or refunding, at the option of the Holder, the amount of interest or any other amounts which would constitute unlawful amounts required to be paid or actually paid to the Holder under the Transaction Documents. For greater certainty, to the extent that any interest, charges, fees, expenses or other amounts required to be paid to or received by the Holder under any of the Transaction Documents or related thereto are held to be within the meaning of “interest” or another applicable term to otherwise be violative of applicable law, such amounts shall be pro-rated over the period of time to which they relate.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 </w:t>
      </w:r>
      <w:r>
        <w:rPr>
          <w:rFonts w:ascii="Times New Roman;Times;Serif" w:hAnsi="Times New Roman;Times;Serif"/>
          <w:b w:val="false"/>
          <w:i w:val="false"/>
          <w:caps w:val="false"/>
          <w:smallCaps w:val="false"/>
          <w:sz w:val="20"/>
          <w:u w:val="single"/>
        </w:rPr>
        <w:t>Independent Nature of Holder’s Obligations and Rights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obligations of the Holder under this Agreement are several and not joint with the obligations of any Other Holder, and the Holder shall not be responsible in any way for the performance of the obligations of any Other Holder under any Other Exchange Agreement. Nothing contained herein or in any Other Exchange Agreement, and no action taken by the Holder pursuant hereto, shall be deemed to constitute the Holder and Other Holders as a partnership, an association, a joint venture or any other kind of entity, or create a presumption that the Holder and Other Holders are in any way acting in concert or as a group with respect to such obligations or the transactions contemplated by this Agreement or any Other Exchange Agreement and the Company acknowledges that, to the best of its knowledge, the Holder and the Other Holders are not acting in concert or as a group with respect to such obligations or the transactions contemplated by this Agreement or any Other Exchange Agreement. The Company and the Holder confirm that the Holder has independently participated in the negotiation of the transactions contemplated hereby with the advice of its own counsel and advisors. The Holder shall be entitled to independently protect and enforce its rights, including, without limitation, the rights arising out of this Agreement, and it shall not be necessary for any Other Holder to be joined as an additional party in any proceeding for such purpose.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Most Favored Nation</w:t>
      </w:r>
      <w:r>
        <w:rPr>
          <w:rFonts w:ascii="Times New Roman;Times;Serif" w:hAnsi="Times New Roman;Times;Serif"/>
          <w:b w:val="false"/>
          <w:i w:val="false"/>
          <w:caps w:val="false"/>
          <w:smallCaps w:val="false"/>
          <w:sz w:val="20"/>
        </w:rPr>
        <w:t>. The Company hereby represents and warrants as of the date hereof and covenants and agrees that none of the terms offered to any Person with respect to any amendment, modification, waiver or exchange of any Series C-1 Convertible Note, including, without limitation with respect to any consent, release, amendment, settlement, or waiver relating thereto (each, a “</w:t>
      </w:r>
      <w:r>
        <w:rPr>
          <w:rFonts w:ascii="Times New Roman;Times;Serif" w:hAnsi="Times New Roman;Times;Serif"/>
          <w:b w:val="false"/>
          <w:i w:val="false"/>
          <w:caps w:val="false"/>
          <w:smallCaps w:val="false"/>
          <w:sz w:val="20"/>
          <w:u w:val="single"/>
        </w:rPr>
        <w:t>Settlement Document</w:t>
      </w:r>
      <w:r>
        <w:rPr>
          <w:rFonts w:ascii="Times New Roman;Times;Serif" w:hAnsi="Times New Roman;Times;Serif"/>
          <w:b w:val="false"/>
          <w:i w:val="false"/>
          <w:caps w:val="false"/>
          <w:smallCaps w:val="false"/>
          <w:sz w:val="20"/>
        </w:rPr>
        <w:t>”), is or will be more favorable to such Person (other than any reimbursement of legal fees) than those of the Holder and this Agreement. If, and whenever on or after the date hereof, the Company enters into a Settlement Document, then (i) the Company shall provide notice thereof to the Holder promptly following the occurrence thereof and (ii) the terms and conditions of this Agreement shall be, without any further action by the Holder or the Company, automatically amended and modified in an economically and legally equivalent manner such that the Holder shall receive the benefit of the more favorable terms and/or conditions (as the case may be) set forth in such Settlement Document, provided that upon written notice to the Company at any time the Holder may elect not to accept the benefit of any such amended or modified term or condition, in which event the term or condition contained in this Agreement shall apply to the Holder as it was in effect immediately prior to such amendment or modification as if such amendment or modification never occurred with respect to the Holder. The provisions of this Section 21 shall apply similarly and equally to each Settlement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Reservation of Shares</w:t>
      </w:r>
      <w:r>
        <w:rPr>
          <w:rFonts w:ascii="Times New Roman;Times;Serif" w:hAnsi="Times New Roman;Times;Serif"/>
          <w:b w:val="false"/>
          <w:i w:val="false"/>
          <w:caps w:val="false"/>
          <w:smallCaps w:val="false"/>
          <w:sz w:val="20"/>
        </w:rPr>
        <w:t>. So long as any of the Exchange Notes remain outstanding, the Company shall take all action necessary to at all times have authorized, and reserved for the purpose of issuance, no less than 110% of the maximum number of shares of Common Stock issuable upon conversion of all the Exchanged Notes then outstanding (assuming for purposes hereof that (x) the Exchanged Notes are convertible at the Alternate Conversion Price assuming an Alternate Conversion Date as of such applicable date of determination, (y) interest on the Exchanged Notes shall accrue through the Maturity Date (as defined in the Exchanged Notes) and will be converted in shares of Common Stock at a conversion price equal to the Alternate Conversion Price assuming an Alternate Conversion Date as of such applicable date of determination and (z) any such conversion shall not take into account any limitations on the conversion of the Exchanged Notes set forth in the Exchanged Notes), (collectively, the “</w:t>
      </w:r>
      <w:r>
        <w:rPr>
          <w:rFonts w:ascii="Times New Roman;Times;Serif" w:hAnsi="Times New Roman;Times;Serif"/>
          <w:b w:val="false"/>
          <w:i w:val="false"/>
          <w:caps w:val="false"/>
          <w:smallCaps w:val="false"/>
          <w:sz w:val="20"/>
          <w:u w:val="single"/>
        </w:rPr>
        <w:t>Required Reserve Amount</w:t>
      </w:r>
      <w:r>
        <w:rPr>
          <w:rFonts w:ascii="Times New Roman;Times;Serif" w:hAnsi="Times New Roman;Times;Serif"/>
          <w:b w:val="false"/>
          <w:i w:val="false"/>
          <w:caps w:val="false"/>
          <w:smallCaps w:val="false"/>
          <w:sz w:val="20"/>
        </w:rPr>
        <w:t>”); provided that at no time shall the number of shares of Common Stock reserved pursuant to this Section 22 be reduced other than proportionally in connection with any conversion, exercise and/or redemption, as applicable of Exchanged Notes.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pursuant to the Transaction Documents, in the case of an insufficient number of authorized shares, obtain stockholder approval of an increase in such authorized number of shares, and voting the management shares of the Company in favor of an increase in the authorized shares of the Company to ensure that the number of authorized shares is sufficient to meet the Required Reserve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p>
      <w:pPr>
        <w:pStyle w:val="TextBody"/>
        <w:bidi w:val="0"/>
        <w:spacing w:before="0" w:after="0"/>
        <w:ind w:left="720" w:right="0" w:hanging="0"/>
        <w:jc w:val="both"/>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881"/>
        <w:gridCol w:w="2738"/>
        <w:gridCol w:w="75"/>
      </w:tblGrid>
      <w:tr>
        <w:trPr/>
        <w:tc>
          <w:tcPr>
            <w:tcW w:w="36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81" w:type="dxa"/>
            <w:tcBorders/>
            <w:vAlign w:val="center"/>
          </w:tcPr>
          <w:p>
            <w:pPr>
              <w:pStyle w:val="TableContents"/>
              <w:bidi w:val="0"/>
              <w:spacing w:before="0" w:after="283"/>
              <w:jc w:val="left"/>
              <w:rPr>
                <w:caps w:val="false"/>
                <w:smallCaps w:val="false"/>
              </w:rPr>
            </w:pPr>
            <w:r>
              <w:rPr>
                <w:caps w:val="false"/>
                <w:smallCaps w:val="false"/>
              </w:rPr>
              <w:t> </w:t>
            </w:r>
          </w:p>
        </w:tc>
        <w:tc>
          <w:tcPr>
            <w:tcW w:w="2738"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3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7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7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p>
      <w:pPr>
        <w:pStyle w:val="TextBody"/>
        <w:bidi w:val="0"/>
        <w:spacing w:before="0" w:after="0"/>
        <w:ind w:left="720" w:right="0" w:hanging="0"/>
        <w:jc w:val="both"/>
        <w:rPr>
          <w:caps w:val="false"/>
          <w:smallCaps w:val="false"/>
        </w:rPr>
      </w:pPr>
      <w:r>
        <w:rPr>
          <w:caps w:val="false"/>
          <w:smallCaps w:val="false"/>
        </w:rPr>
        <w:t> </w:t>
      </w:r>
    </w:p>
    <w:tbl>
      <w:tblPr>
        <w:tblW w:w="2434" w:type="dxa"/>
        <w:jc w:val="left"/>
        <w:tblInd w:w="0" w:type="dxa"/>
        <w:tblLayout w:type="fixed"/>
        <w:tblCellMar>
          <w:top w:w="0" w:type="dxa"/>
          <w:left w:w="0" w:type="dxa"/>
          <w:bottom w:w="0" w:type="dxa"/>
          <w:right w:w="0" w:type="dxa"/>
        </w:tblCellMar>
      </w:tblPr>
      <w:tblGrid>
        <w:gridCol w:w="75"/>
        <w:gridCol w:w="2043"/>
        <w:gridCol w:w="3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3" w:type="dxa"/>
            <w:tcBorders/>
            <w:vAlign w:val="center"/>
          </w:tcPr>
          <w:p>
            <w:pPr>
              <w:pStyle w:val="TableContents"/>
              <w:bidi w:val="0"/>
              <w:spacing w:before="0" w:after="283"/>
              <w:jc w:val="left"/>
              <w:rPr>
                <w:caps w:val="false"/>
                <w:smallCaps w:val="false"/>
              </w:rPr>
            </w:pPr>
            <w:r>
              <w:rPr>
                <w:caps w:val="false"/>
                <w:smallCaps w:val="false"/>
              </w:rPr>
              <w:t> </w:t>
            </w:r>
          </w:p>
        </w:tc>
        <w:tc>
          <w:tcPr>
            <w:tcW w:w="31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notices (Holder):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FORM OF ExchangeD Note</w:t>
      </w:r>
    </w:p>
    <w:p>
      <w:pPr>
        <w:pStyle w:val="TextBody"/>
        <w:bidi w:val="0"/>
        <w:spacing w:before="0" w:after="0"/>
        <w:ind w:left="0" w:right="0" w:hanging="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caps w:val="false"/>
          <w:smallCaps w:val="false"/>
        </w:rPr>
      </w:pPr>
      <w:bookmarkStart w:id="28" w:name="ex10-2.htm"/>
      <w:bookmarkStart w:id="29" w:name="ksex102"/>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PRINCIPAL AMOUNT REPRESENTED BY THIS NOTE AND, ACCORDINGLY, THE SECURITIES ISSUABLE UPON CONVERSION HEREOF MAY BE LESS THAN THE AMOUNTS SET FORTH ON THE FACE HEREOF PURSUANT TO SECTION 3(c)(iii)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Ocean Power Technologies,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Series </w:t>
      </w:r>
      <w:r>
        <w:rPr>
          <w:rFonts w:ascii="Times New Roman;Times;Serif" w:hAnsi="Times New Roman;Times;Serif"/>
          <w:b/>
          <w:i w:val="false"/>
          <w:caps w:val="false"/>
          <w:smallCaps w:val="false"/>
          <w:sz w:val="20"/>
        </w:rPr>
        <w:t xml:space="preserve">D </w:t>
      </w:r>
      <w:r>
        <w:rPr>
          <w:rFonts w:ascii="Times New Roman;Times;Serif" w:hAnsi="Times New Roman;Times;Serif"/>
          <w:b/>
          <w:i w:val="false"/>
          <w:smallCaps/>
          <w:sz w:val="20"/>
        </w:rPr>
        <w:t>Senior Convertible Note</w:t>
      </w:r>
    </w:p>
    <w:p>
      <w:pPr>
        <w:pStyle w:val="TextBody"/>
        <w:bidi w:val="0"/>
        <w:spacing w:before="0" w:after="0"/>
        <w:ind w:left="0" w:right="0" w:hanging="0"/>
        <w:jc w:val="center"/>
        <w:rPr>
          <w:smallCaps/>
        </w:rPr>
      </w:pPr>
      <w:r>
        <w:rPr>
          <w:smallCaps/>
        </w:rPr>
        <w:t> </w:t>
      </w:r>
    </w:p>
    <w:tbl>
      <w:tblPr>
        <w:tblW w:w="6010" w:type="dxa"/>
        <w:jc w:val="left"/>
        <w:tblInd w:w="0" w:type="dxa"/>
        <w:tblLayout w:type="fixed"/>
        <w:tblCellMar>
          <w:top w:w="0" w:type="dxa"/>
          <w:left w:w="0" w:type="dxa"/>
          <w:bottom w:w="0" w:type="dxa"/>
          <w:right w:w="0" w:type="dxa"/>
        </w:tblCellMar>
      </w:tblPr>
      <w:tblGrid>
        <w:gridCol w:w="2990"/>
        <w:gridCol w:w="3020"/>
      </w:tblGrid>
      <w:tr>
        <w:trPr/>
        <w:tc>
          <w:tcPr>
            <w:tcW w:w="29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April 1, 2026</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Date: September 25, 2026</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Principal Amount: U.S.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Ocean Power Technologies,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promises to pay to the order of [●] or its registered assigns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the Outstanding Principal Value (as defined below) with respect to such amount set forth above as the Original Principal Amount (as reduced pursuant to the terms hereof pursuant to redemption, conversion or otherwise, the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when due, whether upon the Maturity Date, on any Amortization Date (as defined below) with respect to the Amortization Amount (as defined below) due on such Amortization Date or upon acceleration, redemption or otherwise (in each case in accordance with the terms hereof) and, upon the occurrence and continuance of an Event of Default (as defined below), and to pay interest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on any Outstanding Principal Value at the Default Rate (as defined below), in each case, until the same becomes due and payable, whether upon the Maturity Date, on any Amortization Date with respect to the Amortization Amount due on such Amortization Date, or upon acceleration, conversion, redemption or otherwise (in each case in accordance with the terms hereof). This Series D Senior Convertible Note (including all Senior Convertible Notes issued in exchange, transfer or replacement hereof, this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 one of an issue of Senior Convertible Notes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such other Senior Convertible Notes, the “</w:t>
      </w:r>
      <w:r>
        <w:rPr>
          <w:rFonts w:ascii="Times New Roman;Times;Serif" w:hAnsi="Times New Roman;Times;Serif"/>
          <w:b/>
          <w:i w:val="false"/>
          <w:caps w:val="false"/>
          <w:smallCaps w:val="false"/>
          <w:sz w:val="20"/>
        </w:rPr>
        <w:t>Other Notes</w:t>
      </w:r>
      <w:r>
        <w:rPr>
          <w:rFonts w:ascii="Times New Roman;Times;Serif" w:hAnsi="Times New Roman;Times;Serif"/>
          <w:b w:val="false"/>
          <w:i w:val="false"/>
          <w:caps w:val="false"/>
          <w:smallCaps w:val="false"/>
          <w:sz w:val="20"/>
        </w:rPr>
        <w:t>”, and each holder of an Other Note, an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and together with the Holder, the “</w:t>
      </w:r>
      <w:r>
        <w:rPr>
          <w:rFonts w:ascii="Times New Roman;Times;Serif" w:hAnsi="Times New Roman;Times;Serif"/>
          <w:b/>
          <w:i w:val="false"/>
          <w:caps w:val="false"/>
          <w:smallCaps w:val="false"/>
          <w:sz w:val="20"/>
        </w:rPr>
        <w:t>Investors</w:t>
      </w:r>
      <w:r>
        <w:rPr>
          <w:rFonts w:ascii="Times New Roman;Times;Serif" w:hAnsi="Times New Roman;Times;Serif"/>
          <w:b w:val="false"/>
          <w:i w:val="false"/>
          <w:caps w:val="false"/>
          <w:smallCaps w:val="false"/>
          <w:sz w:val="20"/>
        </w:rPr>
        <w:t>”) is one of an issue of Senior Convertible Notes issued as of the date set forth above as the Exchange Date (the “</w:t>
      </w:r>
      <w:r>
        <w:rPr>
          <w:rFonts w:ascii="Times New Roman;Times;Serif" w:hAnsi="Times New Roman;Times;Serif"/>
          <w:b/>
          <w:i w:val="false"/>
          <w:caps w:val="false"/>
          <w:smallCaps w:val="false"/>
          <w:sz w:val="20"/>
        </w:rPr>
        <w:t>Exchange Date</w:t>
      </w:r>
      <w:r>
        <w:rPr>
          <w:rFonts w:ascii="Times New Roman;Times;Serif" w:hAnsi="Times New Roman;Times;Serif"/>
          <w:b w:val="false"/>
          <w:i w:val="false"/>
          <w:caps w:val="false"/>
          <w:smallCaps w:val="false"/>
          <w:sz w:val="20"/>
        </w:rPr>
        <w:t>”), pursuant to an Exchange Agreement, dated as of the Exchange Date, by and between the Company and the Holder (the “</w:t>
      </w:r>
      <w:r>
        <w:rPr>
          <w:rFonts w:ascii="Times New Roman;Times;Serif" w:hAnsi="Times New Roman;Times;Serif"/>
          <w:b/>
          <w:i w:val="false"/>
          <w:caps w:val="false"/>
          <w:smallCaps w:val="false"/>
          <w:sz w:val="20"/>
        </w:rPr>
        <w:t>Exchange Agreement</w:t>
      </w:r>
      <w:r>
        <w:rPr>
          <w:rFonts w:ascii="Times New Roman;Times;Serif" w:hAnsi="Times New Roman;Times;Serif"/>
          <w:b w:val="false"/>
          <w:i w:val="false"/>
          <w:caps w:val="false"/>
          <w:smallCaps w:val="false"/>
          <w:sz w:val="20"/>
        </w:rPr>
        <w:t>”, and together with any Other Exchange Agreement (as defined in the Exchange Agreement), the “</w:t>
      </w:r>
      <w:r>
        <w:rPr>
          <w:rFonts w:ascii="Times New Roman;Times;Serif" w:hAnsi="Times New Roman;Times;Serif"/>
          <w:b/>
          <w:i w:val="false"/>
          <w:caps w:val="false"/>
          <w:smallCaps w:val="false"/>
          <w:sz w:val="20"/>
        </w:rPr>
        <w:t>Exchange Agreements</w:t>
      </w:r>
      <w:r>
        <w:rPr>
          <w:rFonts w:ascii="Times New Roman;Times;Serif" w:hAnsi="Times New Roman;Times;Serif"/>
          <w:b w:val="false"/>
          <w:i w:val="false"/>
          <w:caps w:val="false"/>
          <w:smallCaps w:val="false"/>
          <w:sz w:val="20"/>
        </w:rPr>
        <w:t>”), in reliance on the exemption from registration provided by Section 3(a)(9) of the 1933 Act, in exchange for that certain Note, with an outstanding principal amount as of the time immediately prior to the Exchange Date of $[●], originally issued on the date set forth above as the Issuance Date (the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 pursuant to (i) Section 1 of that certain Securities Purchase Agreement, dated as of April 1, 2026 (the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by and among the Company and the investors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 referred to therein, as amended from time to time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and (ii) the Company’s Registration Statement on Form S-3 (File Number 333-275843). Certain capitalized terms used herein are defined in Section 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PAYMENTS OF PRINCIPAL</w:t>
      </w:r>
      <w:r>
        <w:rPr>
          <w:rFonts w:ascii="Times New Roman;Times;Serif" w:hAnsi="Times New Roman;Times;Serif"/>
          <w:b w:val="false"/>
          <w:i w:val="false"/>
          <w:caps w:val="false"/>
          <w:smallCaps w:val="false"/>
          <w:sz w:val="20"/>
        </w:rPr>
        <w:t xml:space="preserve">. On each Amortization Date, the Company shall pay to the Holder an amount equal to the Amortization Amount due on such Amortization Date in accordance with Section 8. On the Maturity Date, the Company shall pay to the Holder an amount in cash (excluding any amounts paid in shares of Common Stock on the Maturity Date in accordance with Section 8) representing the Outstanding Value of this Note as of the Maturity Date. Other than as specifically permitted by this Note, the Company may not prepay any portion of the Outstanding Value. Notwithstanding anything herein to the contrary, with respect to any conversion or redemption hereunder, as applicable, the Company shall convert or redeem, as applicable,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all accrued and unpaid Late Charges on any Outstanding Principal Value, Make-Whole Amount and Interest hereunder and under any Other Notes held by the Holder and all other amounts owed to the Holder under the Exchange Agreement and/or any other Transaction Document,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all accrued and unpaid Interest, if any, and Make-Whole Amount hereunder and under any Other Notes held by such Holder,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all other amounts (other than the Outstanding Principal Value) outstanding under any Other Notes held by such Holder and,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the Outstanding Principal Value hereunder and under any Other Notes held by such Holder, in each case, allocated pro rata among this Note and such Other Notes held by such Holder.</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INTEREST; INTEREST RATE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Interest on this Note shall commence accruing on the Issuance Date and shall be computed on the basis of a 360-day year and twelve 30-day months and shall be payable in arrears on each Interest Date and shall compound each calendar month and shall be payable in accordance with the terms of this Note. Interest shall be paid (i) on each Interest Date occurring on an Amortization Date in accordance with Section 8 as part of the applicable Amortization Amount due on the applicable Amortization Date and (ii) with respect to each other Interest Date, on such Interest Date in cash.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payment of Interest on an Interest Date, Interest on this Note shall accrue at the Interest Rate and be payable by way of inclusion of the Interest in the Conversion Amount on each Conversion Date in accordance with Section 3(c)(i) or upon any redemption in accordance with Section 13 or any required payment upon any Bankruptcy Event of Default. In the event that such Event of Default is subsequently cured or waived in writing (for the avoidance of doubt, electronic mail shall suffice as written notice herein) in accordance with the terms of this Note and the other Transaction Documents (and no other Event of Default then exists, unless waived by the Holder, including, without limitation, for the Company’s failure to pay such Interest at the Default Rate on the applicable Interest Date), the adjustment referred to in the preceding sentence shall cease to be effective as of the calendar day immediately following the date of such cure or waiver; unless expressly provided therein, any such cure or waiver shall not relieve the Company of its obligation to pay Interest at the Default Rate for the period from the occurrence of such Event of Default through and including the date of such cure or waiver of such Event of Default.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CONVERSION OF NOTES</w:t>
      </w:r>
      <w:r>
        <w:rPr>
          <w:rFonts w:ascii="Times New Roman;Times;Serif" w:hAnsi="Times New Roman;Times;Serif"/>
          <w:b w:val="false"/>
          <w:i w:val="false"/>
          <w:caps w:val="false"/>
          <w:smallCaps w:val="false"/>
          <w:sz w:val="20"/>
        </w:rPr>
        <w:t>. At any time after the Issuance Date, this Note shall be convertible into validly issued, fully paid and non-assessable shares of Common Stock (as defined below), on the terms and conditions set forth in this Section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Subject to the provisions of Section 3(d), at any time or times on or after the Issuance Date, the Holder shall be entitled to convert any portion of the outstanding and unpaid Conversion Amount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 Rate</w:t>
      </w:r>
      <w:r>
        <w:rPr>
          <w:rFonts w:ascii="Times New Roman;Times;Serif" w:hAnsi="Times New Roman;Times;Serif"/>
          <w:b w:val="false"/>
          <w:i w:val="false"/>
          <w:caps w:val="false"/>
          <w:smallCaps w:val="false"/>
          <w:sz w:val="20"/>
        </w:rPr>
        <w:t>. The number of shares of Common Stock issuable upon conversion of any Conversion Amount pursuant to Section 3(a) shall be determined by dividing (x) such Conversion Amount by (y) the Conversion Price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means the sum of (A) the portion of the Outstanding Principal Value of this Note to be converted, redeemed or otherwise with respect to which this determination is being made, (B) accrued and unpaid Interest with respect to such Principal of this Note (if any), (C) the Make-Whole Amount, if any, (D) accrued and unpaid Late Charges with respect to such Principal of this Note, Make-Whole Amount and Interest, and (E) any other unpaid amounts pursuant to the Transaction Documents, if any.</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as of any Conversion Date or other date of determination, $2.45, subject to adjustment as provided herein.</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To convert any Conversion Amount into shares of Common Stock on any date (a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the Holder shall deliver (whether via electronic mail or otherwise), for receipt on or prior to 11:59 p.m., New York time, on such date, a copy of an executed notice of conversion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xml:space="preserve">”) to the Company. If required by Section 3(c)(iii), within one (1) Trading Day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20(b)). On the date of receipt of a Conversion Notice, the Company shall transmit by electronic mail an acknowledgment, in the form attached hereto as </w:t>
      </w:r>
      <w:r>
        <w:rPr>
          <w:rFonts w:ascii="Times New Roman;Times;Serif" w:hAnsi="Times New Roman;Times;Serif"/>
          <w:b w:val="false"/>
          <w:i w:val="false"/>
          <w:caps w:val="false"/>
          <w:smallCaps w:val="false"/>
          <w:sz w:val="20"/>
          <w:u w:val="single"/>
        </w:rPr>
        <w:t>Exhibit II</w:t>
      </w:r>
      <w:r>
        <w:rPr>
          <w:rFonts w:ascii="Times New Roman;Times;Serif" w:hAnsi="Times New Roman;Times;Serif"/>
          <w:b w:val="false"/>
          <w:i w:val="false"/>
          <w:caps w:val="false"/>
          <w:smallCaps w:val="false"/>
          <w:sz w:val="20"/>
        </w:rPr>
        <w:t>, of confirmation of receipt of such Conversion Notice (each, an “</w:t>
      </w:r>
      <w:r>
        <w:rPr>
          <w:rFonts w:ascii="Times New Roman;Times;Serif" w:hAnsi="Times New Roman;Times;Serif"/>
          <w:b/>
          <w:i w:val="false"/>
          <w:caps w:val="false"/>
          <w:smallCaps w:val="false"/>
          <w:sz w:val="20"/>
        </w:rPr>
        <w:t>Acknowledgement</w:t>
      </w:r>
      <w:r>
        <w:rPr>
          <w:rFonts w:ascii="Times New Roman;Times;Serif" w:hAnsi="Times New Roman;Times;Serif"/>
          <w:b w:val="false"/>
          <w:i w:val="false"/>
          <w:caps w:val="false"/>
          <w:smallCaps w:val="false"/>
          <w:sz w:val="20"/>
        </w:rPr>
        <w:t>”) to the Holder and the Company’s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which confirmation shall constitute an instruction to the Transfer Agent to process such Conversion Notice in accordance with the terms herein. On or before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on which the Company has received a Conversion Notice (the “</w:t>
      </w:r>
      <w:r>
        <w:rPr>
          <w:rFonts w:ascii="Times New Roman;Times;Serif" w:hAnsi="Times New Roman;Times;Serif"/>
          <w:b/>
          <w:i w:val="false"/>
          <w:caps w:val="false"/>
          <w:smallCaps w:val="false"/>
          <w:sz w:val="20"/>
        </w:rPr>
        <w:t>Share Delivery Deadline</w:t>
      </w:r>
      <w:r>
        <w:rPr>
          <w:rFonts w:ascii="Times New Roman;Times;Serif" w:hAnsi="Times New Roman;Times;Serif"/>
          <w:b w:val="false"/>
          <w:i w:val="false"/>
          <w:caps w:val="false"/>
          <w:smallCaps w:val="false"/>
          <w:sz w:val="20"/>
        </w:rPr>
        <w:t>”), the Company shall (1) provided that the Transfer Agent is participating in The Depository Trust Company’s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Fast Automated Securities Transfer Program (“</w:t>
      </w:r>
      <w:r>
        <w:rPr>
          <w:rFonts w:ascii="Times New Roman;Times;Serif" w:hAnsi="Times New Roman;Times;Serif"/>
          <w:b/>
          <w:i w:val="false"/>
          <w:caps w:val="false"/>
          <w:smallCaps w:val="false"/>
          <w:sz w:val="20"/>
        </w:rPr>
        <w:t>FAST</w:t>
      </w:r>
      <w:r>
        <w:rPr>
          <w:rFonts w:ascii="Times New Roman;Times;Serif" w:hAnsi="Times New Roman;Times;Serif"/>
          <w:b w:val="false"/>
          <w:i w:val="false"/>
          <w:caps w:val="false"/>
          <w:smallCaps w:val="false"/>
          <w:sz w:val="20"/>
        </w:rPr>
        <w:t>”),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3(c)(iii) and the Outstanding Principal Value of this Note is greater than the Outstanding Principal Value portion of the Conversion Amount being converted, then the Company shall as soon as practicable and in no event later than one (1) Business Day after receipt of this Note and at its own expense, issue and deliver to the Holder (or its designee) a new Note (in accordance with Section 20(d)) representing the Outstanding Principal Value not converted. The Person or Persons entitled to receive the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issuable upon a conversion of this Note shall be treated for all purposes as the record holder or holders of such Conversion Shares on the Conversion Date; provided, that the Holder shall be deemed to have waived any voting rights of any such Conversion Shares during the period commencing on such Conversion Date, through, and including, such applicable Share Delivery Deadline (each, a “</w:t>
      </w:r>
      <w:r>
        <w:rPr>
          <w:rFonts w:ascii="Times New Roman;Times;Serif" w:hAnsi="Times New Roman;Times;Serif"/>
          <w:b/>
          <w:i w:val="false"/>
          <w:caps w:val="false"/>
          <w:smallCaps w:val="false"/>
          <w:sz w:val="20"/>
        </w:rPr>
        <w:t>Conversion Period</w:t>
      </w:r>
      <w:r>
        <w:rPr>
          <w:rFonts w:ascii="Times New Roman;Times;Serif" w:hAnsi="Times New Roman;Times;Serif"/>
          <w:b w:val="false"/>
          <w:i w:val="false"/>
          <w:caps w:val="false"/>
          <w:smallCaps w:val="false"/>
          <w:sz w:val="20"/>
        </w:rPr>
        <w:t>”), as necessary, such that the aggregate voting rights of any shares of Common Stock (including such Conversion Shares) beneficially owned by the Holder and/or any Attribution Parties, collectively, on any such date of determination shall not exceed the Maximum Percentage (as defined below) as a result of any such conversion of this Note.</w:t>
      </w:r>
    </w:p>
    <w:p>
      <w:pPr>
        <w:pStyle w:val="TextBody"/>
        <w:bidi w:val="0"/>
        <w:spacing w:before="0" w:after="0"/>
        <w:ind w:left="1080" w:right="0" w:firstLine="10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Company’s Failure to Timely Convert</w:t>
      </w:r>
      <w:r>
        <w:rPr>
          <w:rFonts w:ascii="Times New Roman;Times;Serif" w:hAnsi="Times New Roman;Times;Serif"/>
          <w:b w:val="false"/>
          <w:i w:val="false"/>
          <w:caps w:val="false"/>
          <w:smallCaps w:val="false"/>
          <w:sz w:val="20"/>
        </w:rPr>
        <w:t>. If the Company shall fail, for any reason or for no reason, on or prior to the applicable Share Delivery Deadline, if the Transfer Agent is not participating in FAST, to issue and deliver to the Holder (or its designee) a certificate for the number of shares of Common Stock to which the Holder is entitled and register such shares of Common Stock on the Company’s share register or, if the Transfer Agent is participating in FAST, to credit the balance account of the Holder or the Holder’s designee with DTC for such number of shares of Common Stock to which the Holder is entitled upon the Holder’s conversion of this Note (as the case may be) (a “</w:t>
      </w:r>
      <w:r>
        <w:rPr>
          <w:rFonts w:ascii="Times New Roman;Times;Serif" w:hAnsi="Times New Roman;Times;Serif"/>
          <w:b/>
          <w:i w:val="false"/>
          <w:caps w:val="false"/>
          <w:smallCaps w:val="false"/>
          <w:sz w:val="20"/>
        </w:rPr>
        <w:t>Conversion Failure</w:t>
      </w:r>
      <w:r>
        <w:rPr>
          <w:rFonts w:ascii="Times New Roman;Times;Serif" w:hAnsi="Times New Roman;Times;Serif"/>
          <w:b w:val="false"/>
          <w:i w:val="false"/>
          <w:caps w:val="false"/>
          <w:smallCaps w:val="false"/>
          <w:sz w:val="20"/>
        </w:rPr>
        <w:t>”), then, in addition to all other remedies available to the Holder, (1) the Company shall pay in cash to the Holder on each day after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such Share Delivery Deadline that the issuance of such shares of Common Stock is not timely effected an amount equal to 0.5% of the product of (A) the sum of the number of shares of Common Stock not issued to the Holder on or prior to the Share Delivery Deadline and to which the Holder is entitled, multiplied by (B) any VWAP of the Common Stock of any Trading Day (as selected by the Holder in writing) during the period beginning on the applicable Conversion Date and ending on the applicable Share Delivery Deadline,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3(c)(ii) or otherwise. In addition to the foregoing, if on or prior to the Share Delivery Deadline if the Transfer Agent is not participating in FAST, the Company shall fail to issue and deliver to the Holder (or its designee) a certificate and register such shares of Common Stock on the Company’s share register or, if the Transfer Agent is participating in FAST, the Transfer Agent shall fail to credit the balance account of the Holder or the Holder’s designee with DTC for the number of shares of Common Stock to which the Holder is entitled upon the Holder’s conversion hereunder or pursuant to the Company’s obligation pursuant to clause (II) below, and if on or after such Share Delivery Deadline the Holder acquires (in an open market transaction, stock loan or otherwise) shares of Common Stock corresponding to all or any portion of the number of shares of Common Stock issuable upon such conversion that the Holder is entitled to receive from the Company and has not received from the Company in connection with such Conversion Failure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in addition to all other remedies available to the Holder, the Company shall, within two (2) Business Days after receipt of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at which point the Company’s obligation to so issue and deliver such certificate (and to issue such shares of Common Stock) or credit the balance account of such Holder or such Holder’s designee, as applicable,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balance account of such Holder or such Holder’s designee, as applicable, with DTC for the number of shares of Common Stock to which the Holder is entitled upon the Holder’s conversion hereunder (as the case may be) and pay cash to the Holder in an amount equal to the excess (if any) of the Buy-In Price over the product of (x) such number of shares of Common Stock multiplied by (y) the VWAP of the Common Stock on any Trading Day during the period commencing on the date of the applicable Conversion Notice and ending on the date of such issuance and payment under this clause (II) (the “</w:t>
      </w:r>
      <w:r>
        <w:rPr>
          <w:rFonts w:ascii="Times New Roman;Times;Serif" w:hAnsi="Times New Roman;Times;Serif"/>
          <w:b/>
          <w:i w:val="false"/>
          <w:caps w:val="false"/>
          <w:smallCaps w:val="false"/>
          <w:sz w:val="20"/>
        </w:rPr>
        <w:t>Buy-In Payment Amount</w:t>
      </w:r>
      <w:r>
        <w:rPr>
          <w:rFonts w:ascii="Times New Roman;Times;Serif" w:hAnsi="Times New Roman;Times;Serif"/>
          <w:b w:val="false"/>
          <w:i w:val="false"/>
          <w:caps w:val="false"/>
          <w:smallCaps w:val="false"/>
          <w:sz w:val="20"/>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this Note as required pursuant to the terms hereof.</w:t>
      </w:r>
    </w:p>
    <w:p>
      <w:pPr>
        <w:pStyle w:val="TextBody"/>
        <w:bidi w:val="0"/>
        <w:spacing w:before="0" w:after="0"/>
        <w:ind w:left="1080" w:right="0" w:firstLine="10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Registration; Book-Entry</w:t>
      </w:r>
      <w:r>
        <w:rPr>
          <w:rFonts w:ascii="Times New Roman;Times;Serif" w:hAnsi="Times New Roman;Times;Serif"/>
          <w:b w:val="false"/>
          <w:i w:val="false"/>
          <w:caps w:val="false"/>
          <w:smallCaps w:val="false"/>
          <w:sz w:val="20"/>
        </w:rPr>
        <w:t>. The Company shall maintain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for the recordation of the names and addresses of the holders of each Note and the principal amount of the Notes held by such holders (the “</w:t>
      </w:r>
      <w:r>
        <w:rPr>
          <w:rFonts w:ascii="Times New Roman;Times;Serif" w:hAnsi="Times New Roman;Times;Serif"/>
          <w:b/>
          <w:i w:val="false"/>
          <w:caps w:val="false"/>
          <w:smallCaps w:val="false"/>
          <w:sz w:val="20"/>
        </w:rPr>
        <w:t>Registered Notes</w:t>
      </w:r>
      <w:r>
        <w:rPr>
          <w:rFonts w:ascii="Times New Roman;Times;Serif" w:hAnsi="Times New Roman;Times;Serif"/>
          <w:b w:val="false"/>
          <w:i w:val="false"/>
          <w:caps w:val="false"/>
          <w:smallCaps w:val="false"/>
          <w:sz w:val="20"/>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Outstanding Principal Value, Make-Whole Amount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20,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Outstanding Principal Value, Make-Whole Amount,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Outstanding Principal Value, Make-Whole Amount,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w:t>
      </w:r>
      <w:r>
        <w:rPr>
          <w:rFonts w:ascii="Times New Roman;Times;Serif" w:hAnsi="Times New Roman;Times;Serif"/>
          <w:b w:val="false"/>
          <w:i w:val="false"/>
          <w:caps w:val="false"/>
          <w:smallCaps w:val="false"/>
          <w:sz w:val="20"/>
          <w:u w:val="single"/>
        </w:rPr>
        <w:t>Pro Rata Conversion; Disputes</w:t>
      </w:r>
      <w:r>
        <w:rPr>
          <w:rFonts w:ascii="Times New Roman;Times;Serif" w:hAnsi="Times New Roman;Times;Serif"/>
          <w:b w:val="false"/>
          <w:i w:val="false"/>
          <w:caps w:val="false"/>
          <w:smallCaps w:val="false"/>
          <w:sz w:val="20"/>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25. If a Conversion Notice delivered to the Company would result in a breach of Section 3(d)(i) below, and the Holder does not elect in writing to withdraw, in whole, such Conversion Notice, the Company shall hold such Conversion Notice in abeyance until such time as such Conversion Notice may be satisfied without violating Section 3(d)(i) below (with such calculations thereunder made as of the date such Conversion Notice was initially delivered to the Company).</w:t>
      </w:r>
    </w:p>
    <w:p>
      <w:pPr>
        <w:pStyle w:val="TextBody"/>
        <w:bidi w:val="0"/>
        <w:spacing w:before="0" w:after="0"/>
        <w:ind w:left="1080" w:right="0" w:firstLine="10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Conversions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3(d)(i). For purposes of this Section 3(d)(i), beneficial ownership shall be calculated in accordance with Section 13(d) of the 1934 Act. For purposes of determining the number of outstanding shares of Common Stock the Holder may acquire upon the conversion of this Note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 Conversion Notice from the Holder at a time when the actual number of outstanding 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3(d)(i), to exceed the Maximum Percentage, the Holder must notify the Company of a reduced number of shares of Common Stock to be purchased pursuant to such Conversion Notice.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Upon delivery of a written notice to the Company, the Holder may from time to time increase (with such increase not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delivery of such notice) or decrease the Maximum Percentage to any other percentage not in excess of 9.99% as specified in such notice; provided that (i) any such increase in the Maximum Percentage will not be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3(d)(i) to the extent necessary to correct this paragraph (or any portion of this paragraph) which may be defective or inconsistent with the intended beneficial ownership limitation contained in this Section 3(d)(i) or to make changes or supplements necessary or desirable to properly give effect to such limitation. The limitation contained in this paragraph may not be amended, modified or waived and shall apply to a successor holder of this Note.</w:t>
      </w:r>
    </w:p>
    <w:p>
      <w:pPr>
        <w:pStyle w:val="TextBody"/>
        <w:bidi w:val="0"/>
        <w:spacing w:before="0" w:after="0"/>
        <w:ind w:left="1080" w:right="0" w:firstLine="10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Principal Market Limitation</w:t>
      </w:r>
      <w:r>
        <w:rPr>
          <w:rFonts w:ascii="Times New Roman;Times;Serif" w:hAnsi="Times New Roman;Times;Serif"/>
          <w:b w:val="false"/>
          <w:i w:val="false"/>
          <w:caps w:val="false"/>
          <w:smallCaps w:val="false"/>
          <w:sz w:val="20"/>
        </w:rPr>
        <w:t>. Notwithstanding anything in this Note to the contrary, unless and until the Company has obtained Stockholder Approval, the Company shall not issue any shares of Common Stock upon conversion of this Note or the Other Notes, or otherwise, to the extent that the issuance of such shares of Common Stock, together with all shares of Common Stock previously issued upon conversion of this Note and the Other Notes, would exceed 19.99% of the shares of Common Stock issued and outstanding immediately prior to the Exchange Date, which number of shares is 1,817,994 (the “</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xml:space="preserve">”), except that (i) each Investor shall only be eligible to receive, and the Company shall only issue to each Investor, up to a number of shares of Common Stock equal to the amount set forth opposite such Investor’s name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attached hereto, (with respect to each Investor, the “</w:t>
      </w:r>
      <w:r>
        <w:rPr>
          <w:rFonts w:ascii="Times New Roman;Times;Serif" w:hAnsi="Times New Roman;Times;Serif"/>
          <w:b/>
          <w:i w:val="false"/>
          <w:caps w:val="false"/>
          <w:smallCaps w:val="false"/>
          <w:sz w:val="20"/>
        </w:rPr>
        <w:t>Exchange Cap Allocation</w:t>
      </w:r>
      <w:r>
        <w:rPr>
          <w:rFonts w:ascii="Times New Roman;Times;Serif" w:hAnsi="Times New Roman;Times;Serif"/>
          <w:b w:val="false"/>
          <w:i w:val="false"/>
          <w:caps w:val="false"/>
          <w:smallCaps w:val="false"/>
          <w:sz w:val="20"/>
        </w:rPr>
        <w:t xml:space="preserve">”), and (ii) such limitation shall not apply if the Company’s has obtained Stockholder Approval. In the event that any Investor shall sell or otherwise transfer any of such Investor’s Notes, the transferee shall be allocated a pro rata portion of such Investor’s Exchange Cap Allocation with respect to such portion of such Notes so transferred, and the restrictions of the prior sentence shall apply to such transferee with respect to the portion of the Exchange Cap Allocation so allocated to such transferee. Upon conversion and exercise in full of an Investor’s Notes, the difference (if any) between such Investor’s Exchange Cap Allocation and the number of shares of Common Stock actually issued to such holder upon such Investor’s conversion in full of such Notes shall be allocated, to the respective Exchange Cap Allocations of the remaining holders of Notes on a pro rata basis in proportion to the shares of Common Stock underlying the Notes then held by each such holder of Notes. For the avoidance of doubt, and consistent with Section 6.6 of the Exchange Agreement, no issuance of Common Stock, or of any security convertible into or exercisable or exchangeable for Common Stock, to any Person other than a holder of Notes shall reduce, diminish, consume or otherwise be counted against the Exchange Cap or any Exchange Cap Allocation. Without limiting any provision of this </w:t>
      </w:r>
      <w:r>
        <w:rPr>
          <w:rFonts w:ascii="Times New Roman;Times;Serif" w:hAnsi="Times New Roman;Times;Serif"/>
          <w:b w:val="false"/>
          <w:i w:val="false"/>
          <w:caps w:val="false"/>
          <w:smallCaps w:val="false"/>
          <w:sz w:val="20"/>
          <w:u w:val="single"/>
        </w:rPr>
        <w:t>Section 3(d)(ii)</w:t>
      </w:r>
      <w:r>
        <w:rPr>
          <w:rFonts w:ascii="Times New Roman;Times;Serif" w:hAnsi="Times New Roman;Times;Serif"/>
          <w:b w:val="false"/>
          <w:i w:val="false"/>
          <w:caps w:val="false"/>
          <w:smallCaps w:val="false"/>
          <w:sz w:val="20"/>
        </w:rPr>
        <w:t>, if the Company at any time on or after the Exchange Date subdivides (by any stock split, stock dividend, stock combination, recapitalization or other similar transaction) one or more classes of its outstanding shares of Common Stock into a greater or lesser number of shares, the Exchange Cap will be proportionately adjusted.</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Right of Alternate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350" w:right="0" w:firstLine="15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Alternate Conversion</w:t>
      </w:r>
      <w:r>
        <w:rPr>
          <w:rFonts w:ascii="Times New Roman;Times;Serif" w:hAnsi="Times New Roman;Times;Serif"/>
          <w:b w:val="false"/>
          <w:i w:val="false"/>
          <w:caps w:val="false"/>
          <w:smallCaps w:val="false"/>
          <w:sz w:val="20"/>
        </w:rPr>
        <w:t>. Subject to Section 3(d), at any time, at the option of the Holder, the Holder may convert (each, an “</w:t>
      </w:r>
      <w:r>
        <w:rPr>
          <w:rFonts w:ascii="Times New Roman;Times;Serif" w:hAnsi="Times New Roman;Times;Serif"/>
          <w:b/>
          <w:i w:val="false"/>
          <w:caps w:val="false"/>
          <w:smallCaps w:val="false"/>
          <w:sz w:val="20"/>
        </w:rPr>
        <w:t>Alternate Optional Conversion</w:t>
      </w:r>
      <w:r>
        <w:rPr>
          <w:rFonts w:ascii="Times New Roman;Times;Serif" w:hAnsi="Times New Roman;Times;Serif"/>
          <w:b w:val="false"/>
          <w:i w:val="false"/>
          <w:caps w:val="false"/>
          <w:smallCaps w:val="false"/>
          <w:sz w:val="20"/>
        </w:rPr>
        <w:t>”, and the date of such Alternate Optional Conversion, an “</w:t>
      </w:r>
      <w:r>
        <w:rPr>
          <w:rFonts w:ascii="Times New Roman;Times;Serif" w:hAnsi="Times New Roman;Times;Serif"/>
          <w:b/>
          <w:i w:val="false"/>
          <w:caps w:val="false"/>
          <w:smallCaps w:val="false"/>
          <w:sz w:val="20"/>
        </w:rPr>
        <w:t>Alternate Optional Conversion Date</w:t>
      </w:r>
      <w:r>
        <w:rPr>
          <w:rFonts w:ascii="Times New Roman;Times;Serif" w:hAnsi="Times New Roman;Times;Serif"/>
          <w:b w:val="false"/>
          <w:i w:val="false"/>
          <w:caps w:val="false"/>
          <w:smallCaps w:val="false"/>
          <w:sz w:val="20"/>
        </w:rPr>
        <w:t>”) all, or any part, of this Note into shares of Common Stock (such portion of the Conversion Amount subject to such Alternate Optional Conversion, the “</w:t>
      </w:r>
      <w:r>
        <w:rPr>
          <w:rFonts w:ascii="Times New Roman;Times;Serif" w:hAnsi="Times New Roman;Times;Serif"/>
          <w:b/>
          <w:i w:val="false"/>
          <w:caps w:val="false"/>
          <w:smallCaps w:val="false"/>
          <w:sz w:val="20"/>
        </w:rPr>
        <w:t>Alternate Optional Conversion Amount</w:t>
      </w:r>
      <w:r>
        <w:rPr>
          <w:rFonts w:ascii="Times New Roman;Times;Serif" w:hAnsi="Times New Roman;Times;Serif"/>
          <w:b w:val="false"/>
          <w:i w:val="false"/>
          <w:caps w:val="false"/>
          <w:smallCaps w:val="false"/>
          <w:sz w:val="20"/>
        </w:rPr>
        <w:t>”) at the Alternate Conversion Price.</w:t>
      </w:r>
    </w:p>
    <w:p>
      <w:pPr>
        <w:pStyle w:val="TextBody"/>
        <w:bidi w:val="0"/>
        <w:spacing w:before="0" w:after="0"/>
        <w:ind w:left="1350" w:right="0" w:firstLine="1530"/>
        <w:jc w:val="both"/>
        <w:rPr>
          <w:caps w:val="false"/>
          <w:smallCaps w:val="false"/>
        </w:rPr>
      </w:pPr>
      <w:r>
        <w:rPr>
          <w:caps w:val="false"/>
          <w:smallCaps w:val="false"/>
        </w:rPr>
        <w:t> </w:t>
      </w:r>
    </w:p>
    <w:p>
      <w:pPr>
        <w:pStyle w:val="TextBody"/>
        <w:bidi w:val="0"/>
        <w:spacing w:before="0" w:after="0"/>
        <w:ind w:left="1350" w:right="0" w:firstLine="153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Alternate Conversion Upon an Event of Default</w:t>
      </w:r>
      <w:r>
        <w:rPr>
          <w:rFonts w:ascii="Times New Roman;Times;Serif" w:hAnsi="Times New Roman;Times;Serif"/>
          <w:b w:val="false"/>
          <w:i w:val="false"/>
          <w:caps w:val="false"/>
          <w:smallCaps w:val="false"/>
          <w:sz w:val="20"/>
        </w:rPr>
        <w:t>. Subject to Section 3(d), at any time after the occurrence of an Event of Default (regardless of whether such Event of Default has been cured, or if the Company has delivered an Event of Default Notice to the Holder or if the Holder has delivered an Event of Default Redemption Notice to the Company or otherwise notified the Company that an Event of Default has occurred), the Holder may, at the Holder’s option, convert (each, an “</w:t>
      </w:r>
      <w:r>
        <w:rPr>
          <w:rFonts w:ascii="Times New Roman;Times;Serif" w:hAnsi="Times New Roman;Times;Serif"/>
          <w:b/>
          <w:i w:val="false"/>
          <w:caps w:val="false"/>
          <w:smallCaps w:val="false"/>
          <w:sz w:val="20"/>
        </w:rPr>
        <w:t>Alternate Event of Default Conversion</w:t>
      </w:r>
      <w:r>
        <w:rPr>
          <w:rFonts w:ascii="Times New Roman;Times;Serif" w:hAnsi="Times New Roman;Times;Serif"/>
          <w:b w:val="false"/>
          <w:i w:val="false"/>
          <w:caps w:val="false"/>
          <w:smallCaps w:val="false"/>
          <w:sz w:val="20"/>
        </w:rPr>
        <w:t>” and together with each Alternate Optional Conversion, each, an “</w:t>
      </w:r>
      <w:r>
        <w:rPr>
          <w:rFonts w:ascii="Times New Roman;Times;Serif" w:hAnsi="Times New Roman;Times;Serif"/>
          <w:b/>
          <w:i w:val="false"/>
          <w:caps w:val="false"/>
          <w:smallCaps w:val="false"/>
          <w:sz w:val="20"/>
        </w:rPr>
        <w:t>Alternate Conversion</w:t>
      </w:r>
      <w:r>
        <w:rPr>
          <w:rFonts w:ascii="Times New Roman;Times;Serif" w:hAnsi="Times New Roman;Times;Serif"/>
          <w:b w:val="false"/>
          <w:i w:val="false"/>
          <w:caps w:val="false"/>
          <w:smallCaps w:val="false"/>
          <w:sz w:val="20"/>
        </w:rPr>
        <w:t>”, and the date of such Alternate Event of Default Conversion, each, an “</w:t>
      </w:r>
      <w:r>
        <w:rPr>
          <w:rFonts w:ascii="Times New Roman;Times;Serif" w:hAnsi="Times New Roman;Times;Serif"/>
          <w:b/>
          <w:i w:val="false"/>
          <w:caps w:val="false"/>
          <w:smallCaps w:val="false"/>
          <w:sz w:val="20"/>
        </w:rPr>
        <w:t>Alternate Event of Default Conversion Date</w:t>
      </w:r>
      <w:r>
        <w:rPr>
          <w:rFonts w:ascii="Times New Roman;Times;Serif" w:hAnsi="Times New Roman;Times;Serif"/>
          <w:b w:val="false"/>
          <w:i w:val="false"/>
          <w:caps w:val="false"/>
          <w:smallCaps w:val="false"/>
          <w:sz w:val="20"/>
        </w:rPr>
        <w:t>”, and together with each Alternate Optional Conversion Date, each, an “</w:t>
      </w:r>
      <w:r>
        <w:rPr>
          <w:rFonts w:ascii="Times New Roman;Times;Serif" w:hAnsi="Times New Roman;Times;Serif"/>
          <w:b/>
          <w:i w:val="false"/>
          <w:caps w:val="false"/>
          <w:smallCaps w:val="false"/>
          <w:sz w:val="20"/>
        </w:rPr>
        <w:t>Alternate Conversion Date</w:t>
      </w:r>
      <w:r>
        <w:rPr>
          <w:rFonts w:ascii="Times New Roman;Times;Serif" w:hAnsi="Times New Roman;Times;Serif"/>
          <w:b w:val="false"/>
          <w:i w:val="false"/>
          <w:caps w:val="false"/>
          <w:smallCaps w:val="false"/>
          <w:sz w:val="20"/>
        </w:rPr>
        <w:t>”) all, or any part of, the Conversion Amount (such portion of the Conversion Amount subject to such Alternate Conversion, the “</w:t>
      </w:r>
      <w:r>
        <w:rPr>
          <w:rFonts w:ascii="Times New Roman;Times;Serif" w:hAnsi="Times New Roman;Times;Serif"/>
          <w:b/>
          <w:i w:val="false"/>
          <w:caps w:val="false"/>
          <w:smallCaps w:val="false"/>
          <w:sz w:val="20"/>
        </w:rPr>
        <w:t>Alternate Event of Default Conversion Amount</w:t>
      </w:r>
      <w:r>
        <w:rPr>
          <w:rFonts w:ascii="Times New Roman;Times;Serif" w:hAnsi="Times New Roman;Times;Serif"/>
          <w:b w:val="false"/>
          <w:i w:val="false"/>
          <w:caps w:val="false"/>
          <w:smallCaps w:val="false"/>
          <w:sz w:val="20"/>
        </w:rPr>
        <w:t>” and together with each Alternate Optional Conversion Amount, each, an “</w:t>
      </w:r>
      <w:r>
        <w:rPr>
          <w:rFonts w:ascii="Times New Roman;Times;Serif" w:hAnsi="Times New Roman;Times;Serif"/>
          <w:b/>
          <w:i w:val="false"/>
          <w:caps w:val="false"/>
          <w:smallCaps w:val="false"/>
          <w:sz w:val="20"/>
        </w:rPr>
        <w:t>Alternate Conversion Amount</w:t>
      </w:r>
      <w:r>
        <w:rPr>
          <w:rFonts w:ascii="Times New Roman;Times;Serif" w:hAnsi="Times New Roman;Times;Serif"/>
          <w:b w:val="false"/>
          <w:i w:val="false"/>
          <w:caps w:val="false"/>
          <w:smallCaps w:val="false"/>
          <w:sz w:val="20"/>
        </w:rPr>
        <w:t>”) into shares of Common Stock at the Alternate Conversion Price.</w:t>
      </w:r>
    </w:p>
    <w:p>
      <w:pPr>
        <w:pStyle w:val="TextBody"/>
        <w:bidi w:val="0"/>
        <w:spacing w:before="0" w:after="0"/>
        <w:ind w:left="1350" w:right="0" w:firstLine="153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350" w:right="0" w:firstLine="153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Mechanics of Alternate Conversion</w:t>
      </w:r>
      <w:r>
        <w:rPr>
          <w:rFonts w:ascii="Times New Roman;Times;Serif" w:hAnsi="Times New Roman;Times;Serif"/>
          <w:b w:val="false"/>
          <w:i w:val="false"/>
          <w:caps w:val="false"/>
          <w:smallCaps w:val="false"/>
          <w:sz w:val="20"/>
        </w:rPr>
        <w:t>. On any Alternate Conversion Date, the Holder may voluntarily convert any Alternate Conversion Amount pursuant to Section 3(c) (with “Alternate Conversion Price” replacing “Conversion Price” for all purposes hereunder with respect to such Alternate Conversion and, solely with respect to the calculation of the number of shares of Common Stock issuable upon conversion of any Conversion Amount in an Alternate Event of Default Conversion, with “Redemption Premium of the Conversion Amount” replacing “Conversion Amount” in clause (x) of the definition of Conversion Rate above with respect to such Alternate Conversion) by designating in the Conversion Notice delivered pursuant to this Section 3(e) of this Note that the Holder is electing to use the Alternate Conversion Price for such conversion. Notwithstanding anything to the contrary in this Section 3(e), but subject to Section 3(d), until the Company delivers shares of Common Stock representing the applicable Alternate Conversion Amount to the Holder, such Alternate Conversion Amount may be converted by the Holder into shares of Common Stock pursuant to Section 3(c) without regard to this Section 3(e). In the event of an Alternate Conversion pursuant to this Section 3(e) of all, or any portion, of this Note,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3(e), together with the Alternate Conversion Price used in such Alternate Conversion, as applicable, is intended by the parties to be, and shall be deemed, a reasonable estimate of, the Holder’s actual loss of its investment opportunity and not as a penalty.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RIGHTS UPON 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Each of the following events shall constitute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and each of the events in clauses (vi), (vii), and (viii) shall constitute a “</w:t>
      </w:r>
      <w:r>
        <w:rPr>
          <w:rFonts w:ascii="Times New Roman;Times;Serif" w:hAnsi="Times New Roman;Times;Serif"/>
          <w:b/>
          <w:i w:val="false"/>
          <w:caps w:val="false"/>
          <w:smallCaps w:val="false"/>
          <w:sz w:val="20"/>
        </w:rPr>
        <w:t>Bankruptcy 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suspension from trading or the failure of the Common Stock to be trading or listed (as applicable) on an Eligible Market for a period of five (5) consecutive Trading Days;</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Company’s (A) failure to cure a Conversion Failure by delivery of the required number of shares of Common Stock within five (5) Trading Days after the applicable Conversion Date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to the extent the Company is in compliance with Section 12(a) below, at any time following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consecutive day that the Holder’s Authorized Share Allocation (as defined in Section 12(a) below) is less than the sum of the number of shares of Common Stock that the Holder would be entitled to receive upon a conversion of the full Conversion Amount of this Note (without regard to any limitations on conversion set forth in Section 3(d) or otherwise);</w:t>
      </w:r>
    </w:p>
    <w:p>
      <w:pPr>
        <w:pStyle w:val="TextBody"/>
        <w:bidi w:val="0"/>
        <w:spacing w:before="0" w:after="0"/>
        <w:ind w:left="1080" w:right="0" w:firstLine="10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Company’s or any Subsidiary’s failure to pay to the Holder any amount of Outstanding Value (including, without limitation, the Company’s or any Subsidiary’s failure to pay any redemption payments or amounts hereunder) or any other Transaction Document or any other agreement, document, certificate or other instrument delivered in connection with the transactions contemplated hereby and thereby, except, (x) in the case of a failure to pay any Interest and/or Late Charges when and as due, in which case only if such failure remains uncured for a period of at least two (2) Trading Days and (y) in the case of a failure to pay any other amounts (other than Principal, Interest and/or Late Charges) when and as due, in which case only if such failure remains uncured for a period of at least five (5) Trading Days after written demand of payment by Holder to the Company;</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occurrence of any unscheduled redemption or acceleration of maturity of at least an aggregate of $500,000 of Indebtedness of the Company or any of its Subsidiaries, other than with respect to any Other Notes;</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bankruptcy, insolvency, reorganization or liquidation proceedings or other proceedings for the relief of debtors shall be instituted by or against the Company or any Subsidiary and, if instituted against the Company or any Subsidiary by a third party, shall not be dismissed within sixty (60) days of their initiation;</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commencement by the Company or any Subsidiary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entry by a court of (i) a decree, order, judgment or other similar document in respect of the Company or any Subsidiary of a voluntary or involuntary case or proceeding under any applicable federal, state or foreign bankruptcy, insolvency, reorganization or other similar law or (ii) 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sixty (60) consecutive days;</w:t>
      </w:r>
    </w:p>
    <w:p>
      <w:pPr>
        <w:pStyle w:val="TextBody"/>
        <w:bidi w:val="0"/>
        <w:spacing w:before="0" w:after="0"/>
        <w:ind w:left="1080" w:right="0" w:firstLine="10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final judgment or judgments for the payment of money aggregating in excess of $400,000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$400,000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and/or any Subsidiary, individually or in the aggregate, either fails to pay, when due, or within any applicable grace period, any payment with respect to any Indebtedness in excess of $1,000,000 due to any third party (other than (x) the MAR Earnout and (y)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$1,000,000 (other than the MAR Earnout), which breach or violation permits the other party thereto to declare a default or otherwise accelerate amounts due thereunder;</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other than as specifically set forth in another clause of this Section 4(a), the Company or any Subsidiary breaches any representation or warranty in any material respect (other than representations or warranties that are qualified by materiality, which may not be breached in any respect), or any covenant or other term or condition of any Transaction Document, except, in the case of a breach of a covenant or other term or condition that is curable, only if such breach remains uncured for a period of six (6) Trading Days after written notice by Holder delivered to the Company;</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 false or inaccurate certification by the Company as to whether any Event of Default has occurred;</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other than as specifically set forth in another clause of this Section 4(a), any breach or failure in any respect by the Company or any Subsidiary to comply with any provision of Section 15 of this Note; except, in the case of a breach or failure to comply with any provision that is curable, only if such breach or failure remains uncured for a period of at least six (6) Trading Days;</w:t>
      </w:r>
    </w:p>
    <w:p>
      <w:pPr>
        <w:pStyle w:val="TextBody"/>
        <w:bidi w:val="0"/>
        <w:spacing w:before="0" w:after="0"/>
        <w:ind w:left="1080" w:right="0" w:firstLine="108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Material Adverse Effect occurs;</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 proceeding shall be commenced by the Company or any Subsidiary or any Governmental Entity having jurisdiction over any of them, seeking to establish the invalidity or unenforceability of any provision of the Exchange Agreement or any Transaction Document, or the Company or any Subsidiary shall deny in writing that it has any liability or obligation purported to be created under any Transaction Document;</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[Reserved];</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the Company’s (A) failure to cure a Financial Covenant Failure within ten (10) Trading Days after the occurrence of such Financial Covenant Failure; provided that, the balance of Available Cash in an aggregate amount is equal to at least $2.0 million or (B) failure, at any time, to maintain a balance of Available Cash in an aggregate amount of at least $2.0 million; or</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any Event of Default (as defined in the Other Notes) occurs with respect to any Other Notes.</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an Event of Default; Redemption Right</w:t>
      </w:r>
      <w:r>
        <w:rPr>
          <w:rFonts w:ascii="Times New Roman;Times;Serif" w:hAnsi="Times New Roman;Times;Serif"/>
          <w:b w:val="false"/>
          <w:i w:val="false"/>
          <w:caps w:val="false"/>
          <w:smallCaps w:val="false"/>
          <w:sz w:val="20"/>
        </w:rPr>
        <w:t>. Upon the occurrence of an Event of Default with respect to this Note or any Other Note, the Company shall within one (1) Business Day deliver written notice thereof via electronic mail and overnight courier (with next day delivery specified) (an “</w:t>
      </w:r>
      <w:r>
        <w:rPr>
          <w:rFonts w:ascii="Times New Roman;Times;Serif" w:hAnsi="Times New Roman;Times;Serif"/>
          <w:b/>
          <w:i w:val="false"/>
          <w:caps w:val="false"/>
          <w:smallCaps w:val="false"/>
          <w:sz w:val="20"/>
        </w:rPr>
        <w:t>Event of Default Notice</w:t>
      </w:r>
      <w:r>
        <w:rPr>
          <w:rFonts w:ascii="Times New Roman;Times;Serif" w:hAnsi="Times New Roman;Times;Serif"/>
          <w:b w:val="false"/>
          <w:i w:val="false"/>
          <w:caps w:val="false"/>
          <w:smallCaps w:val="false"/>
          <w:sz w:val="20"/>
        </w:rPr>
        <w:t>”) to the Holder. At any time after the earlier of the Holder’s receipt of an Event of Default Notice and the Holder becoming aware of an Event of Default (such earlier date, the “</w:t>
      </w:r>
      <w:r>
        <w:rPr>
          <w:rFonts w:ascii="Times New Roman;Times;Serif" w:hAnsi="Times New Roman;Times;Serif"/>
          <w:b/>
          <w:i w:val="false"/>
          <w:caps w:val="false"/>
          <w:smallCaps w:val="false"/>
          <w:sz w:val="20"/>
        </w:rPr>
        <w:t>Event of Default Right Commencement Date</w:t>
      </w:r>
      <w:r>
        <w:rPr>
          <w:rFonts w:ascii="Times New Roman;Times;Serif" w:hAnsi="Times New Roman;Times;Serif"/>
          <w:b w:val="false"/>
          <w:i w:val="false"/>
          <w:caps w:val="false"/>
          <w:smallCaps w:val="false"/>
          <w:sz w:val="20"/>
        </w:rPr>
        <w:t>”) and ending (such ending date, the “</w:t>
      </w:r>
      <w:r>
        <w:rPr>
          <w:rFonts w:ascii="Times New Roman;Times;Serif" w:hAnsi="Times New Roman;Times;Serif"/>
          <w:b/>
          <w:i w:val="false"/>
          <w:caps w:val="false"/>
          <w:smallCaps w:val="false"/>
          <w:sz w:val="20"/>
        </w:rPr>
        <w:t>Event of Default Right Expiration Date</w:t>
      </w:r>
      <w:r>
        <w:rPr>
          <w:rFonts w:ascii="Times New Roman;Times;Serif" w:hAnsi="Times New Roman;Times;Serif"/>
          <w:b w:val="false"/>
          <w:i w:val="false"/>
          <w:caps w:val="false"/>
          <w:smallCaps w:val="false"/>
          <w:sz w:val="20"/>
        </w:rPr>
        <w:t>”, and each such period, an “</w:t>
      </w:r>
      <w:r>
        <w:rPr>
          <w:rFonts w:ascii="Times New Roman;Times;Serif" w:hAnsi="Times New Roman;Times;Serif"/>
          <w:b/>
          <w:i w:val="false"/>
          <w:caps w:val="false"/>
          <w:smallCaps w:val="false"/>
          <w:sz w:val="20"/>
        </w:rPr>
        <w:t>Event of Default Redemption Right Period</w:t>
      </w:r>
      <w:r>
        <w:rPr>
          <w:rFonts w:ascii="Times New Roman;Times;Serif" w:hAnsi="Times New Roman;Times;Serif"/>
          <w:b w:val="false"/>
          <w:i w:val="false"/>
          <w:caps w:val="false"/>
          <w:smallCaps w:val="false"/>
          <w:sz w:val="20"/>
        </w:rPr>
        <w:t>”) on the twentieth (20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after the later of (x) the date such Event of Default is cured and (y) the Holder’s receipt of an Event of Default Notice that includes (I) a reasonable description of the applicable Event of Default, (II) a certification as to whether, in the opinion of the Company, such Event of Default is capable of being cured and, if applicable, a reasonable description of any existing plans of the Company to cure such Event of Default and (III) a certification as to the date the Event of Default occurred and, if cured on or prior to the date of such Event of Default Notice, the applicable Event of Default Right Expiration Date, the Holder, with the prior written consent of the Required Holders, may require the Company to redeem (regardless of whether such Event of Default has been cured on or prior to the Event of Default Right Expiration Date) all or any portion of this Note by delivering written notice thereof (the “</w:t>
      </w:r>
      <w:r>
        <w:rPr>
          <w:rFonts w:ascii="Times New Roman;Times;Serif" w:hAnsi="Times New Roman;Times;Serif"/>
          <w:b/>
          <w:i w:val="false"/>
          <w:caps w:val="false"/>
          <w:smallCaps w:val="false"/>
          <w:sz w:val="20"/>
        </w:rPr>
        <w:t>Event of Default Redemption Notice</w:t>
      </w:r>
      <w:r>
        <w:rPr>
          <w:rFonts w:ascii="Times New Roman;Times;Serif" w:hAnsi="Times New Roman;Times;Serif"/>
          <w:b w:val="false"/>
          <w:i w:val="false"/>
          <w:caps w:val="false"/>
          <w:smallCaps w:val="false"/>
          <w:sz w:val="20"/>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 (A) the Conversion Amount to be redeemed multiplied by (B) the Redemption Premium and (ii) the product of (X) the quotient of (a) the Conversion Amount to be redeemed divided by (b) the Alternate Conversion Price then in effect at such time as the Holder delivers an Event of Default Redemption Notice multiplied by (Y) the product of (1) the Redemption Premium multiplied by (2)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Times New Roman;Times;Serif" w:hAnsi="Times New Roman;Times;Serif"/>
          <w:b/>
          <w:i w:val="false"/>
          <w:caps w:val="false"/>
          <w:smallCaps w:val="false"/>
          <w:sz w:val="20"/>
        </w:rPr>
        <w:t>Event of Default Redemption Price</w:t>
      </w:r>
      <w:r>
        <w:rPr>
          <w:rFonts w:ascii="Times New Roman;Times;Serif" w:hAnsi="Times New Roman;Times;Serif"/>
          <w:b w:val="false"/>
          <w:i w:val="false"/>
          <w:caps w:val="false"/>
          <w:smallCaps w:val="false"/>
          <w:sz w:val="20"/>
        </w:rPr>
        <w:t>”). Redemptions required by this Section 4(b) shall be made in accordance with the provisions of Section 13.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4(b),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Mandatory Redemption upon Bankruptcy Event of Default</w:t>
      </w:r>
      <w:r>
        <w:rPr>
          <w:rFonts w:ascii="Times New Roman;Times;Serif" w:hAnsi="Times New Roman;Times;Serif"/>
          <w:b w:val="false"/>
          <w:i w:val="false"/>
          <w:caps w:val="false"/>
          <w:smallCaps w:val="false"/>
          <w:sz w:val="20"/>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the Outstanding Value of this Note multiplied by (ii) the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RIGHTS UPON FUNDAMENTAL TRANSACTION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Assumption</w:t>
      </w:r>
      <w:r>
        <w:rPr>
          <w:rFonts w:ascii="Times New Roman;Times;Serif" w:hAnsi="Times New Roman;Times;Serif"/>
          <w:b w:val="false"/>
          <w:i w:val="false"/>
          <w:caps w:val="false"/>
          <w:smallCaps w:val="false"/>
          <w:sz w:val="20"/>
        </w:rPr>
        <w:t>. The Company shall not enter into or be party to a Fundamental Transaction unless the Successor Entity assumes in writing all of the obligations of the Company under this Note and the other Transaction Documents in accordance with the provisions of this Section 5(a) pursuant to written agreements in form and substance reasonably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Common Stock (or other securities, cash, assets or other property (except such items still issuable under Sections 6 and 17,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a Change of Control; Redemption Right</w:t>
      </w:r>
      <w:r>
        <w:rPr>
          <w:rFonts w:ascii="Times New Roman;Times;Serif" w:hAnsi="Times New Roman;Times;Serif"/>
          <w:b w:val="false"/>
          <w:i w:val="false"/>
          <w:caps w:val="false"/>
          <w:smallCaps w:val="false"/>
          <w:sz w:val="20"/>
        </w:rPr>
        <w:t>. No sooner than twenty (20) Trading Days nor later than ten (10) Trading Days prior to the consummation of a Change of Control (the “</w:t>
      </w:r>
      <w:r>
        <w:rPr>
          <w:rFonts w:ascii="Times New Roman;Times;Serif" w:hAnsi="Times New Roman;Times;Serif"/>
          <w:b/>
          <w:i w:val="false"/>
          <w:caps w:val="false"/>
          <w:smallCaps w:val="false"/>
          <w:sz w:val="20"/>
        </w:rPr>
        <w:t>Change of Control Date</w:t>
      </w:r>
      <w:r>
        <w:rPr>
          <w:rFonts w:ascii="Times New Roman;Times;Serif" w:hAnsi="Times New Roman;Times;Serif"/>
          <w:b w:val="false"/>
          <w:i w:val="false"/>
          <w:caps w:val="false"/>
          <w:smallCaps w:val="false"/>
          <w:sz w:val="20"/>
        </w:rPr>
        <w:t>”), but not prior to the public announcement of such Change of Control, the Company shall deliver written notice thereof via electronic mail and overnight courier to the Holder (a “</w:t>
      </w:r>
      <w:r>
        <w:rPr>
          <w:rFonts w:ascii="Times New Roman;Times;Serif" w:hAnsi="Times New Roman;Times;Serif"/>
          <w:b/>
          <w:i w:val="false"/>
          <w:caps w:val="false"/>
          <w:smallCaps w:val="false"/>
          <w:sz w:val="20"/>
        </w:rPr>
        <w:t>Change of Control Notice</w:t>
      </w:r>
      <w:r>
        <w:rPr>
          <w:rFonts w:ascii="Times New Roman;Times;Serif" w:hAnsi="Times New Roman;Times;Serif"/>
          <w:b w:val="false"/>
          <w:i w:val="false"/>
          <w:caps w:val="false"/>
          <w:smallCaps w:val="false"/>
          <w:sz w:val="20"/>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Times;Serif" w:hAnsi="Times New Roman;Times;Serif"/>
          <w:b/>
          <w:i w:val="false"/>
          <w:caps w:val="false"/>
          <w:smallCaps w:val="false"/>
          <w:sz w:val="20"/>
        </w:rPr>
        <w:t>Change of Control Redemption Notice</w:t>
      </w:r>
      <w:r>
        <w:rPr>
          <w:rFonts w:ascii="Times New Roman;Times;Serif" w:hAnsi="Times New Roman;Times;Serif"/>
          <w:b w:val="false"/>
          <w:i w:val="false"/>
          <w:caps w:val="false"/>
          <w:smallCaps w:val="false"/>
          <w:sz w:val="20"/>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(w) the Change of Control Redemption Premium multiplied by (y) the Conversion Amount being redeemed, (ii) the product of (x) the Change of Control Redemption Premium multiplied by (y) the product of (A) the Conversion Amount being redeemed multiplied by (B) the quotient determined by dividing (I) the greatest Closing Sale Price of the shares of Common Stock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Alternate Conversion Price then in effect and (iii) the product of (y) the Change of Control Redemption Premium multiplied by (z) the product of (A) the Conversion Amount being redeemed multiplied by (B) the quotient of (I) the aggregate cash consideration and the aggregate cash value of any non-cash 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Times;Serif" w:hAnsi="Times New Roman;Times;Serif"/>
          <w:b/>
          <w:i w:val="false"/>
          <w:caps w:val="false"/>
          <w:smallCaps w:val="false"/>
          <w:sz w:val="20"/>
        </w:rPr>
        <w:t>Change of Control Redemption Price</w:t>
      </w:r>
      <w:r>
        <w:rPr>
          <w:rFonts w:ascii="Times New Roman;Times;Serif" w:hAnsi="Times New Roman;Times;Serif"/>
          <w:b w:val="false"/>
          <w:i w:val="false"/>
          <w:caps w:val="false"/>
          <w:smallCaps w:val="false"/>
          <w:sz w:val="20"/>
        </w:rPr>
        <w:t>”). Redemptions required by this Section 5 shall be made in accordance with the provisions of Section 13 and shall have priority to payments to stockholders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Common Stock pursuant to Section 3.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Company Change of Control Redemption Right</w:t>
      </w:r>
      <w:r>
        <w:rPr>
          <w:rFonts w:ascii="Times New Roman;Times;Serif" w:hAnsi="Times New Roman;Times;Serif"/>
          <w:b w:val="false"/>
          <w:i w:val="false"/>
          <w:caps w:val="false"/>
          <w:smallCaps w:val="false"/>
          <w:sz w:val="20"/>
        </w:rPr>
        <w:t>. Notwithstanding anything in Section 5(a) or Section 5(b) to the contrary, as long as no Event of Default has occurred and is continuing, in connection with a Change of Control, the Company shall have the right, at any time during the period commencing on the applicable Change of Control Notice Date through, and including,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immediately prior to the applicable Change of Control Redemption Right End Date, by delivery of a written notice (the “</w:t>
      </w:r>
      <w:r>
        <w:rPr>
          <w:rFonts w:ascii="Times New Roman;Times;Serif" w:hAnsi="Times New Roman;Times;Serif"/>
          <w:b/>
          <w:i w:val="false"/>
          <w:caps w:val="false"/>
          <w:smallCaps w:val="false"/>
          <w:sz w:val="20"/>
        </w:rPr>
        <w:t>Forced Change of Control Redemption Notice</w:t>
      </w:r>
      <w:r>
        <w:rPr>
          <w:rFonts w:ascii="Times New Roman;Times;Serif" w:hAnsi="Times New Roman;Times;Serif"/>
          <w:b w:val="false"/>
          <w:i w:val="false"/>
          <w:caps w:val="false"/>
          <w:smallCaps w:val="false"/>
          <w:sz w:val="20"/>
        </w:rPr>
        <w:t>”) to the Holder, to require the Holder to elect to effect a Change of Control Redemption in connection therewith (or, at the option of the Holder, to receive Reference Property (as defined below), in whole or in part, with respect thereto). If the Company properly delivers a Forced Change of Control Redemption Notice in accordance with this Section 5(c), the Holder shall receive upon consummation of the Change of Control, at such Holder’s election, to be made by delivery of a notice to the Company stating such election (the “</w:t>
      </w:r>
      <w:r>
        <w:rPr>
          <w:rFonts w:ascii="Times New Roman;Times;Serif" w:hAnsi="Times New Roman;Times;Serif"/>
          <w:b/>
          <w:i w:val="false"/>
          <w:caps w:val="false"/>
          <w:smallCaps w:val="false"/>
          <w:sz w:val="20"/>
        </w:rPr>
        <w:t>Forced Change of Control Election Notice</w:t>
      </w:r>
      <w:r>
        <w:rPr>
          <w:rFonts w:ascii="Times New Roman;Times;Serif" w:hAnsi="Times New Roman;Times;Serif"/>
          <w:b w:val="false"/>
          <w:i w:val="false"/>
          <w:caps w:val="false"/>
          <w:smallCaps w:val="false"/>
          <w:sz w:val="20"/>
        </w:rPr>
        <w:t>”) to be delivered to the Company within the time periods of Section 5(b) for delivery of Change of Control Redemption Notice, (i) cash in an amount equal to the Change of Control Redemption Price in a Change of Control Redemption (with a Change of Control Redemption Notice being deemed to have been delivered to the Company as of the date of delivery of such Forced Change of Control Election Notice) or (ii) the kind and amount of cash, securities or other property receivable upon such Change of Control had the Conversion Amount been converted at the Conversion Price in accordance with Section 3(c) immediately prior to such Change of Control (without regard to any limitations on the conversion of this Note)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after which this Note shall be deemed repaid in full and cancelled.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RIGHTS UPON ISSUANCE OF PURCHASE RIGHTS AND OTHER CORPORATE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Sections 7 or 17 below, if at any time the Company grants, issues or sells any Options, Convertible Securities or rights to purchase stock, warrants, securities or other property pro rata, in each case, to all or substantially all of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Other Corporate Events</w:t>
      </w:r>
      <w:r>
        <w:rPr>
          <w:rFonts w:ascii="Times New Roman;Times;Serif" w:hAnsi="Times New Roman;Times;Serif"/>
          <w:b w:val="false"/>
          <w:i w:val="false"/>
          <w:caps w:val="false"/>
          <w:smallCaps w:val="false"/>
          <w:sz w:val="20"/>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Note.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RIGHTS UPON ISSUANCE OF OTHER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 of Conversion Price upon Subdivision or Combination of Common Stock</w:t>
      </w:r>
      <w:r>
        <w:rPr>
          <w:rFonts w:ascii="Times New Roman;Times;Serif" w:hAnsi="Times New Roman;Times;Serif"/>
          <w:b w:val="false"/>
          <w:i w:val="false"/>
          <w:caps w:val="false"/>
          <w:smallCaps w:val="false"/>
          <w:sz w:val="20"/>
        </w:rPr>
        <w:t>. Without limiting any provision of Section 6 or Section 17,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6 or Section 17,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7(a) shall become effective immediately after the effective date of such subdivision or combination. If any event requiring an adjustment under this Section 7(a) occurs during the period that a Conversion Price is calculated hereunder, then the calculation of such Conversion Price shall be adjusted appropriately to reflect such event.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7 shall be made by rounding to the nearest cent or the nearest 1/100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the Company may at any time during the term of this Note reduce the then current Conversion Price of each of the Notes to any amount and for any period of time deemed appropriate by the board of directors of the Company.</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QUARTERLY AMORTIZATION</w:t>
      </w:r>
      <w:r>
        <w:rPr>
          <w:rFonts w:ascii="Times New Roman;Times;Serif" w:hAnsi="Times New Roman;Times;Serif"/>
          <w:b w:val="false"/>
          <w:i w:val="false"/>
          <w:caps w:val="false"/>
          <w:smallCaps w:val="false"/>
          <w:sz w:val="20"/>
        </w:rPr>
        <w:t>. On January 1, 2027 and each three month anniversary thereafter until, but not including, the Maturity Date (each, an “</w:t>
      </w:r>
      <w:r>
        <w:rPr>
          <w:rFonts w:ascii="Times New Roman;Times;Serif" w:hAnsi="Times New Roman;Times;Serif"/>
          <w:b/>
          <w:i w:val="false"/>
          <w:caps w:val="false"/>
          <w:smallCaps w:val="false"/>
          <w:sz w:val="20"/>
        </w:rPr>
        <w:t>Amortization Date</w:t>
      </w:r>
      <w:r>
        <w:rPr>
          <w:rFonts w:ascii="Times New Roman;Times;Serif" w:hAnsi="Times New Roman;Times;Serif"/>
          <w:b w:val="false"/>
          <w:i w:val="false"/>
          <w:caps w:val="false"/>
          <w:smallCaps w:val="false"/>
          <w:sz w:val="20"/>
        </w:rPr>
        <w:t>”, and each such payment, each an “</w:t>
      </w:r>
      <w:r>
        <w:rPr>
          <w:rFonts w:ascii="Times New Roman;Times;Serif" w:hAnsi="Times New Roman;Times;Serif"/>
          <w:b/>
          <w:i w:val="false"/>
          <w:caps w:val="false"/>
          <w:smallCaps w:val="false"/>
          <w:sz w:val="20"/>
        </w:rPr>
        <w:t>Amortization</w:t>
      </w:r>
      <w:r>
        <w:rPr>
          <w:rFonts w:ascii="Times New Roman;Times;Serif" w:hAnsi="Times New Roman;Times;Serif"/>
          <w:b w:val="false"/>
          <w:i w:val="false"/>
          <w:caps w:val="false"/>
          <w:smallCaps w:val="false"/>
          <w:sz w:val="20"/>
        </w:rPr>
        <w:t>”), the Company shall redeem the Amortization Amount for such Amortization Date in cash to the Holder at a price equal to such Amortization Amount (as reduced for any Deferral (as defined below) by the Holder with respect to such Amortization Date) (each, an “</w:t>
      </w:r>
      <w:r>
        <w:rPr>
          <w:rFonts w:ascii="Times New Roman;Times;Serif" w:hAnsi="Times New Roman;Times;Serif"/>
          <w:b/>
          <w:i w:val="false"/>
          <w:caps w:val="false"/>
          <w:smallCaps w:val="false"/>
          <w:sz w:val="20"/>
        </w:rPr>
        <w:t>Amortization Redemption Price</w:t>
      </w:r>
      <w:r>
        <w:rPr>
          <w:rFonts w:ascii="Times New Roman;Times;Serif" w:hAnsi="Times New Roman;Times;Serif"/>
          <w:b w:val="false"/>
          <w:i w:val="false"/>
          <w:caps w:val="false"/>
          <w:smallCaps w:val="false"/>
          <w:sz w:val="20"/>
        </w:rPr>
        <w:t>”). The Company shall deliver a written notice (each, an “</w:t>
      </w:r>
      <w:r>
        <w:rPr>
          <w:rFonts w:ascii="Times New Roman;Times;Serif" w:hAnsi="Times New Roman;Times;Serif"/>
          <w:b/>
          <w:i w:val="false"/>
          <w:caps w:val="false"/>
          <w:smallCaps w:val="false"/>
          <w:sz w:val="20"/>
        </w:rPr>
        <w:t>Amortization Notice</w:t>
      </w:r>
      <w:r>
        <w:rPr>
          <w:rFonts w:ascii="Times New Roman;Times;Serif" w:hAnsi="Times New Roman;Times;Serif"/>
          <w:b w:val="false"/>
          <w:i w:val="false"/>
          <w:caps w:val="false"/>
          <w:smallCaps w:val="false"/>
          <w:sz w:val="20"/>
        </w:rPr>
        <w:t>”) to the Holder on the Trading Day immediately prior to each applicable Amortization Date in which an Amortization is due hereunder, specifying that an Amortization is required to occur hereunder and the Amortization Redemption Price of this Note for such Amortization Date (attaching reasonable calculations with respect thereto). At any time on or prior to any given Amortization Date, the Holder may defer (each, a “</w:t>
      </w:r>
      <w:r>
        <w:rPr>
          <w:rFonts w:ascii="Times New Roman;Times;Serif" w:hAnsi="Times New Roman;Times;Serif"/>
          <w:b/>
          <w:i w:val="false"/>
          <w:caps w:val="false"/>
          <w:smallCaps w:val="false"/>
          <w:sz w:val="20"/>
        </w:rPr>
        <w:t>Deferral</w:t>
      </w:r>
      <w:r>
        <w:rPr>
          <w:rFonts w:ascii="Times New Roman;Times;Serif" w:hAnsi="Times New Roman;Times;Serif"/>
          <w:b w:val="false"/>
          <w:i w:val="false"/>
          <w:caps w:val="false"/>
          <w:smallCaps w:val="false"/>
          <w:sz w:val="20"/>
        </w:rPr>
        <w:t>”) Amortization of all, or any part, of any Amortization Amount to be paid on such Amortization Date (each, a “</w:t>
      </w:r>
      <w:r>
        <w:rPr>
          <w:rFonts w:ascii="Times New Roman;Times;Serif" w:hAnsi="Times New Roman;Times;Serif"/>
          <w:b/>
          <w:i w:val="false"/>
          <w:caps w:val="false"/>
          <w:smallCaps w:val="false"/>
          <w:sz w:val="20"/>
        </w:rPr>
        <w:t>Deferral Amount</w:t>
      </w:r>
      <w:r>
        <w:rPr>
          <w:rFonts w:ascii="Times New Roman;Times;Serif" w:hAnsi="Times New Roman;Times;Serif"/>
          <w:b w:val="false"/>
          <w:i w:val="false"/>
          <w:caps w:val="false"/>
          <w:smallCaps w:val="false"/>
          <w:sz w:val="20"/>
        </w:rPr>
        <w:t>”) to any other date, which shall then become an Amortization Date, by delivery of written notice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[Intentionally Omitted]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SUBSEQUENT PLACEMENT OPTIONAL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At any time from and after the earlier of (x) the date the Holder becomes aware of the occurrence of a Subsequent Placement (the “</w:t>
      </w:r>
      <w:r>
        <w:rPr>
          <w:rFonts w:ascii="Times New Roman;Times;Serif" w:hAnsi="Times New Roman;Times;Serif"/>
          <w:b/>
          <w:i w:val="false"/>
          <w:caps w:val="false"/>
          <w:smallCaps w:val="false"/>
          <w:sz w:val="20"/>
        </w:rPr>
        <w:t>Holder Subsequent Placement Notice Date</w:t>
      </w:r>
      <w:r>
        <w:rPr>
          <w:rFonts w:ascii="Times New Roman;Times;Serif" w:hAnsi="Times New Roman;Times;Serif"/>
          <w:b w:val="false"/>
          <w:i w:val="false"/>
          <w:caps w:val="false"/>
          <w:smallCaps w:val="false"/>
          <w:sz w:val="20"/>
        </w:rPr>
        <w:t>”) and (y) the time of consummation of a Subsequent Placement (in each case, other than with respect to Excluded Securities) (each, an “</w:t>
      </w:r>
      <w:r>
        <w:rPr>
          <w:rFonts w:ascii="Times New Roman;Times;Serif" w:hAnsi="Times New Roman;Times;Serif"/>
          <w:b/>
          <w:i w:val="false"/>
          <w:caps w:val="false"/>
          <w:smallCaps w:val="false"/>
          <w:sz w:val="20"/>
        </w:rPr>
        <w:t>Eligible Subsequent Placement</w:t>
      </w:r>
      <w:r>
        <w:rPr>
          <w:rFonts w:ascii="Times New Roman;Times;Serif" w:hAnsi="Times New Roman;Times;Serif"/>
          <w:b w:val="false"/>
          <w:i w:val="false"/>
          <w:caps w:val="false"/>
          <w:smallCaps w:val="false"/>
          <w:sz w:val="20"/>
        </w:rPr>
        <w:t>”), the Holder shall have the right, in its sole discretion, to require that the Company redeem (each an “</w:t>
      </w:r>
      <w:r>
        <w:rPr>
          <w:rFonts w:ascii="Times New Roman;Times;Serif" w:hAnsi="Times New Roman;Times;Serif"/>
          <w:b/>
          <w:i w:val="false"/>
          <w:caps w:val="false"/>
          <w:smallCaps w:val="false"/>
          <w:sz w:val="20"/>
        </w:rPr>
        <w:t>Subsequent Placement Optional Redemption</w:t>
      </w:r>
      <w:r>
        <w:rPr>
          <w:rFonts w:ascii="Times New Roman;Times;Serif" w:hAnsi="Times New Roman;Times;Serif"/>
          <w:b w:val="false"/>
          <w:i w:val="false"/>
          <w:caps w:val="false"/>
          <w:smallCaps w:val="false"/>
          <w:sz w:val="20"/>
        </w:rPr>
        <w:t>”) all, or any portion, of the Conversion Amount under this Note not in excess of (together with any Subsequent Placement Optional Redemption Amount (as defined in the applicable other Note of the Holder) of any other Notes of the Holder) the Holder’s Holder Pro Rata Amount of 30% of the net proceeds of such Eligible Subsequent Placement (the “</w:t>
      </w:r>
      <w:r>
        <w:rPr>
          <w:rFonts w:ascii="Times New Roman;Times;Serif" w:hAnsi="Times New Roman;Times;Serif"/>
          <w:b/>
          <w:i w:val="false"/>
          <w:caps w:val="false"/>
          <w:smallCaps w:val="false"/>
          <w:sz w:val="20"/>
        </w:rPr>
        <w:t>Eligible Subsequent Placement Optional Redemption Amount</w:t>
      </w:r>
      <w:r>
        <w:rPr>
          <w:rFonts w:ascii="Times New Roman;Times;Serif" w:hAnsi="Times New Roman;Times;Serif"/>
          <w:b w:val="false"/>
          <w:i w:val="false"/>
          <w:caps w:val="false"/>
          <w:smallCaps w:val="false"/>
          <w:sz w:val="20"/>
        </w:rPr>
        <w:t>”) by delivering written notice thereof (an “</w:t>
      </w:r>
      <w:r>
        <w:rPr>
          <w:rFonts w:ascii="Times New Roman;Times;Serif" w:hAnsi="Times New Roman;Times;Serif"/>
          <w:b/>
          <w:i w:val="false"/>
          <w:caps w:val="false"/>
          <w:smallCaps w:val="false"/>
          <w:sz w:val="20"/>
        </w:rPr>
        <w:t>Subsequent Placement Optional Redemption Notice</w:t>
      </w:r>
      <w:r>
        <w:rPr>
          <w:rFonts w:ascii="Times New Roman;Times;Serif" w:hAnsi="Times New Roman;Times;Serif"/>
          <w:b w:val="false"/>
          <w:i w:val="false"/>
          <w:caps w:val="false"/>
          <w:smallCaps w:val="false"/>
          <w:sz w:val="20"/>
        </w:rPr>
        <w:t>”)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Each Subsequent Placement Optional Redemption Notice shall indicate that all, or such applicable portion, as set forth in the applicable Subsequent Placement Optional Redemption Notice, of the Eligible Subsequent Placement Optional Redemption Amount the Holder is electing to have redeemed (the “</w:t>
      </w:r>
      <w:r>
        <w:rPr>
          <w:rFonts w:ascii="Times New Roman;Times;Serif" w:hAnsi="Times New Roman;Times;Serif"/>
          <w:b/>
          <w:i w:val="false"/>
          <w:caps w:val="false"/>
          <w:smallCaps w:val="false"/>
          <w:sz w:val="20"/>
        </w:rPr>
        <w:t>Subsequent Placement Optional Redemption Amount</w:t>
      </w:r>
      <w:r>
        <w:rPr>
          <w:rFonts w:ascii="Times New Roman;Times;Serif" w:hAnsi="Times New Roman;Times;Serif"/>
          <w:b w:val="false"/>
          <w:i w:val="false"/>
          <w:caps w:val="false"/>
          <w:smallCaps w:val="false"/>
          <w:sz w:val="20"/>
        </w:rPr>
        <w:t>”) and the date of such Subsequent Placement Optional Redemption (the “</w:t>
      </w:r>
      <w:r>
        <w:rPr>
          <w:rFonts w:ascii="Times New Roman;Times;Serif" w:hAnsi="Times New Roman;Times;Serif"/>
          <w:b/>
          <w:i w:val="false"/>
          <w:caps w:val="false"/>
          <w:smallCaps w:val="false"/>
          <w:sz w:val="20"/>
        </w:rPr>
        <w:t>Subsequent Placement Optional Redemption Date</w:t>
      </w:r>
      <w:r>
        <w:rPr>
          <w:rFonts w:ascii="Times New Roman;Times;Serif" w:hAnsi="Times New Roman;Times;Serif"/>
          <w:b w:val="false"/>
          <w:i w:val="false"/>
          <w:caps w:val="false"/>
          <w:smallCaps w:val="false"/>
          <w:sz w:val="20"/>
        </w:rPr>
        <w:t>”), which shall be the later of (x)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date of the applicable Subsequent Placement Optional Redemption Notice and (y) the date of the consummation of such Eligible Subsequent Placement. The portion of the Conversion Amount of this Note subject to redemption pursuant to this Section 10 shall be redeemed by the Company in cash at a price equal to the Subsequent Placement Optional Redemption Amount (the “</w:t>
      </w:r>
      <w:r>
        <w:rPr>
          <w:rFonts w:ascii="Times New Roman;Times;Serif" w:hAnsi="Times New Roman;Times;Serif"/>
          <w:b/>
          <w:i w:val="false"/>
          <w:caps w:val="false"/>
          <w:smallCaps w:val="false"/>
          <w:sz w:val="20"/>
        </w:rPr>
        <w:t>Subsequent Placement Optional Redemption Price</w:t>
      </w:r>
      <w:r>
        <w:rPr>
          <w:rFonts w:ascii="Times New Roman;Times;Serif" w:hAnsi="Times New Roman;Times;Serif"/>
          <w:b w:val="false"/>
          <w:i w:val="false"/>
          <w:caps w:val="false"/>
          <w:smallCaps w:val="false"/>
          <w:sz w:val="20"/>
        </w:rPr>
        <w:t>”). Redemptions required by this Section 10 shall be made in accordance with the provisions of Section 13.</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 Notwithstanding anything herein to the contrary, if after the sixty (60) calendar day anniversary of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RESERVATION OF 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Reservation</w:t>
      </w:r>
      <w:r>
        <w:rPr>
          <w:rFonts w:ascii="Times New Roman;Times;Serif" w:hAnsi="Times New Roman;Times;Serif"/>
          <w:b w:val="false"/>
          <w:i w:val="false"/>
          <w:caps w:val="false"/>
          <w:smallCaps w:val="false"/>
          <w:sz w:val="20"/>
        </w:rPr>
        <w:t>. So long as any Notes remain outstanding, the Company shall at all times reserve at least 110% of the maximum number of shares of Common Stock issuable upon conversion of all the Notes then outstanding (without regard to any limitations on conversions and assuming for purposes hereof that the Notes are convertible at the Alternate Conversion Price assuming an Alternate Conversion Date as of such applicable date of determination)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The Required Reserve Amount (including, without limitation, each increase in the number of shares so reserved) shall be allocated pro rata among the holders of the Notes based on the original principal amount of the Notes held by each holder on the Exchange Date or increase in the number of reserved shares, as the case may be (the “</w:t>
      </w:r>
      <w:r>
        <w:rPr>
          <w:rFonts w:ascii="Times New Roman;Times;Serif" w:hAnsi="Times New Roman;Times;Serif"/>
          <w:b/>
          <w:i w:val="false"/>
          <w:caps w:val="false"/>
          <w:smallCaps w:val="false"/>
          <w:sz w:val="20"/>
        </w:rPr>
        <w:t>Authorized Share Allocation</w:t>
      </w:r>
      <w:r>
        <w:rPr>
          <w:rFonts w:ascii="Times New Roman;Times;Serif" w:hAnsi="Times New Roman;Times;Serif"/>
          <w:b w:val="false"/>
          <w:i w:val="false"/>
          <w:caps w:val="false"/>
          <w:smallCaps w:val="false"/>
          <w:sz w:val="20"/>
        </w:rPr>
        <w:t>”). In the event that a holder shall sell or otherwise transfer any of such holder’s Notes, each transferee shall be allocated a pro rata portion of 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notwithstanding Section 12(a), and not in limitation thereof, at any time while any of the Notes remain outstanding the Company does not have a sufficient number of authorized and unreserved (or reserved pursuant to Section 12(a)) shares of Common Stock to satisfy its obligation to reserve for issuance upon conversion of the Notes at least a number of shares of Common Stock equal to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immediately take all action 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In the event that the Company is prohibited from issuing shares of Common Stock pursuant to the terms of this Note due to the failure by the Company to have sufficient shares of Common Stock available out of the authorized but unissued shares of Common Stock (such unavailable number of shares of Common Stock, the “</w:t>
      </w:r>
      <w:r>
        <w:rPr>
          <w:rFonts w:ascii="Times New Roman;Times;Serif" w:hAnsi="Times New Roman;Times;Serif"/>
          <w:b/>
          <w:i w:val="false"/>
          <w:caps w:val="false"/>
          <w:smallCaps w:val="false"/>
          <w:sz w:val="20"/>
        </w:rPr>
        <w:t>Authorized Failure Shares</w:t>
      </w:r>
      <w:r>
        <w:rPr>
          <w:rFonts w:ascii="Times New Roman;Times;Serif" w:hAnsi="Times New Roman;Times;Serif"/>
          <w:b w:val="false"/>
          <w:i w:val="false"/>
          <w:caps w:val="false"/>
          <w:smallCaps w:val="false"/>
          <w:sz w:val="20"/>
        </w:rPr>
        <w:t>”),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VWAP of the Common Stock on any Trading Day during the period commencing on the date the Holder delivers the applicable Conversion Notice with respect to such Authorized Failure Shares to the Company and ending on the date of such issuance and payment under this Section 12(a); and (ii) to the extent the Holder purchases (in an open market transaction or otherwise) shares of Common Stock to deliver in satisfaction of a sale by the Holder of Authorized Failure Shares, any brokerage commissions and other out-of-pocket expenses, if any, of the Holder incurred in connection therewith. Nothing contained in Section 12(a) or this Section 12(b) shall limit any obligations of the Company under any provision of the Exchange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REDEMPTIONS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The Company shall deliver the applicable Event of Default Redemption Price to the Holder in cash within five (5) Business Days after the Company’s receipt of the Holder’s Event of Default Redemption Notice (each, an “</w:t>
      </w:r>
      <w:r>
        <w:rPr>
          <w:rFonts w:ascii="Times New Roman;Times;Serif" w:hAnsi="Times New Roman;Times;Serif"/>
          <w:b/>
          <w:i w:val="false"/>
          <w:caps w:val="false"/>
          <w:smallCaps w:val="false"/>
          <w:sz w:val="20"/>
        </w:rPr>
        <w:t>Event of Default Redemption Date</w:t>
      </w:r>
      <w:r>
        <w:rPr>
          <w:rFonts w:ascii="Times New Roman;Times;Serif" w:hAnsi="Times New Roman;Times;Serif"/>
          <w:b w:val="false"/>
          <w:i w:val="false"/>
          <w:caps w:val="false"/>
          <w:smallCaps w:val="false"/>
          <w:sz w:val="20"/>
        </w:rPr>
        <w:t>”). If the Holder has submitted a Change of Control Redemption Notice in accordance with Section 5,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(each, an “</w:t>
      </w:r>
      <w:r>
        <w:rPr>
          <w:rFonts w:ascii="Times New Roman;Times;Serif" w:hAnsi="Times New Roman;Times;Serif"/>
          <w:b/>
          <w:i w:val="false"/>
          <w:caps w:val="false"/>
          <w:smallCaps w:val="false"/>
          <w:sz w:val="20"/>
        </w:rPr>
        <w:t>Change of Control Redemption Date</w:t>
      </w:r>
      <w:r>
        <w:rPr>
          <w:rFonts w:ascii="Times New Roman;Times;Serif" w:hAnsi="Times New Roman;Times;Serif"/>
          <w:b w:val="false"/>
          <w:i w:val="false"/>
          <w:caps w:val="false"/>
          <w:smallCaps w:val="false"/>
          <w:sz w:val="20"/>
        </w:rPr>
        <w:t>”). The Company shall deliver the applicable Amortization Redemption Price to the Holder in cash on the applicable Amortization Date. The Company shall deliver the applicable Subsequent Placement Optional Redemption Price to the Holder in cash on the applicable Subsequent Placement Optional Redemption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20(d)) representing the Outstanding Value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Note (in accordance with Section 20(d)), to the Holder, and in each case the principal amount of this Note or such new Note (as the case may be) shall be increased by an amount equal to the difference between (1) the applicable Redemption Price (as the case may be, and as adjusted pursuant to this Section 13, if applicable) minus (2) the Principal portion of the Conversion Amount submitted for redemption and (z) the Conversion Price of this Note or such new Notes (as the case may be) shall be automatically adjusted with respect to each conversion effected thereafter by the Holder to the lowest of (A) the Conversion Price as in effect on the date on which the applicable Redemption Notice is voided, (B) 50% of the lowest Closing Bid Price of the Common Stock during the period beginning on and including the date on which the applicable Redemption Notice is delivered to the Company and ending on and including the date on which the applicable Redemption Notice is voided and (C) 50% of the quotient of (I) the sum of the five (5) lowest VWAPs of the Common Stock during the twenty (20) consecutive Trading Day period ending and including the applicable Conversion Date divided by (II) five (5) (it being understood and agreed that all such determinations shall be appropriately adjusted for any stock dividend, stock split, stock combination or other similar transaction during such period).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Redemption by Other Holders</w:t>
      </w:r>
      <w:r>
        <w:rPr>
          <w:rFonts w:ascii="Times New Roman;Times;Serif" w:hAnsi="Times New Roman;Times;Serif"/>
          <w:b w:val="false"/>
          <w:i w:val="false"/>
          <w:caps w:val="false"/>
          <w:smallCaps w:val="false"/>
          <w:sz w:val="20"/>
        </w:rPr>
        <w:t>. Upon the Company’s receipt of notice from any of the holders of the Other Notes for redemption or repayment as a result of an event or occurrence substantially similar to the events or occurrences described in Section 4(b) or Section 5 (each, an “</w:t>
      </w:r>
      <w:r>
        <w:rPr>
          <w:rFonts w:ascii="Times New Roman;Times;Serif" w:hAnsi="Times New Roman;Times;Serif"/>
          <w:b/>
          <w:i w:val="false"/>
          <w:caps w:val="false"/>
          <w:smallCaps w:val="false"/>
          <w:sz w:val="20"/>
        </w:rPr>
        <w:t>Other Redemption Notice</w:t>
      </w:r>
      <w:r>
        <w:rPr>
          <w:rFonts w:ascii="Times New Roman;Times;Serif" w:hAnsi="Times New Roman;Times;Serif"/>
          <w:b w:val="false"/>
          <w:i w:val="false"/>
          <w:caps w:val="false"/>
          <w:smallCaps w:val="false"/>
          <w:sz w:val="20"/>
        </w:rPr>
        <w:t>”), the Company shall immediately, but no later than one (1) Business Day of its receipt thereof, forward to the Holder by electronic mail a copy of such notice. If the Company receives a Redemption Notice and one or more Other Redemption Notices, during the five (5)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five (5)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five (5) Business Day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The Holder shall have no voting rights as the holder of this Note, except as required by law (including, without limitation, the Delaware General Corporation Law) and as expressly provided in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 Until all of the Notes have been converted, redeemed or otherwise satisfied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xml:space="preserve">. All payments due under this Note (a)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all Other Notes and (b) shall be senior to all other Indebtedness of the Company and its Subsidiaries (other than Permitted Indebtedness secured by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Incurrence of Indebtedness</w:t>
      </w:r>
      <w:r>
        <w:rPr>
          <w:rFonts w:ascii="Times New Roman;Times;Serif" w:hAnsi="Times New Roman;Times;Serif"/>
          <w:b w:val="false"/>
          <w:i w:val="false"/>
          <w:caps w:val="false"/>
          <w:smallCaps w:val="false"/>
          <w:sz w:val="20"/>
        </w:rPr>
        <w:t>. The Company shall not, and the Company shall cause each of its Subsidiaries to not, directly or indirectly, incur or guarantee, assume or suffer to exist any Indebtedness (other than (i) the Indebtedness evidenced by this Note and the Other Notes and (ii) other Permitted Indebtedness).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Existence of Liens</w:t>
      </w:r>
      <w:r>
        <w:rPr>
          <w:rFonts w:ascii="Times New Roman;Times;Serif" w:hAnsi="Times New Roman;Times;Serif"/>
          <w:b w:val="false"/>
          <w:i w:val="false"/>
          <w:caps w:val="false"/>
          <w:smallCaps w:val="false"/>
          <w:sz w:val="20"/>
        </w:rPr>
        <w:t>. The Company shall not, and the Company shall cause each of its Subsidiaries to not,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other than Permitted Liens.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Restricted Payments and Investments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Notes and Permitted Payments)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an event constituting an Event of Default has occurred and is continuing or would occur after giving effect to such payment.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Restriction on Redemption and Cash Dividends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repurchase or declare or pay any cash dividend or distribution on any of its capital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Restriction on Transfer of Assets</w:t>
      </w:r>
      <w:r>
        <w:rPr>
          <w:rFonts w:ascii="Times New Roman;Times;Serif" w:hAnsi="Times New Roman;Times;Serif"/>
          <w:b w:val="false"/>
          <w:i w:val="false"/>
          <w:caps w:val="false"/>
          <w:smallCaps w:val="false"/>
          <w:sz w:val="20"/>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(each, an “</w:t>
      </w:r>
      <w:r>
        <w:rPr>
          <w:rFonts w:ascii="Times New Roman;Times;Serif" w:hAnsi="Times New Roman;Times;Serif"/>
          <w:b/>
          <w:i w:val="false"/>
          <w:caps w:val="false"/>
          <w:smallCaps w:val="false"/>
          <w:sz w:val="20"/>
        </w:rPr>
        <w:t>Asset Sale</w:t>
      </w:r>
      <w:r>
        <w:rPr>
          <w:rFonts w:ascii="Times New Roman;Times;Serif" w:hAnsi="Times New Roman;Times;Serif"/>
          <w:b w:val="false"/>
          <w:i w:val="false"/>
          <w:caps w:val="false"/>
          <w:smallCaps w:val="false"/>
          <w:sz w:val="20"/>
        </w:rPr>
        <w:t>”), other than (i) sales, leases, licenses, assignments, transfers, conveyances and other dispositions of such assets or rights by the Company and its Subsidiaries in the ordinary course of business consistent with its past practice, and (ii) sales of inventory and product in the ordinary course of business.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Maturity of Indebtedness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15(g)</w:t>
      </w:r>
      <w:r>
        <w:rPr>
          <w:rFonts w:ascii="Times New Roman;Times;Serif" w:hAnsi="Times New Roman;Times;Serif"/>
          <w:b w:val="false"/>
          <w:i w:val="false"/>
          <w:caps w:val="false"/>
          <w:smallCaps w:val="false"/>
          <w:sz w:val="20"/>
        </w:rPr>
        <w:t xml:space="preserve"> attached hereto, the Company shall not, and the Company shall cause each of its Subsidiaries to not, directly or indirectly, permit any Indebtedness of the Company or any of its Subsidiaries to mature or accelerate prior to the Maturity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Change in Nature of Business</w:t>
      </w:r>
      <w:r>
        <w:rPr>
          <w:rFonts w:ascii="Times New Roman;Times;Serif" w:hAnsi="Times New Roman;Times;Serif"/>
          <w:b w:val="false"/>
          <w:i w:val="false"/>
          <w:caps w:val="false"/>
          <w:smallCaps w:val="false"/>
          <w:sz w:val="20"/>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Subscription Date or any business substantially related or incidental thereto. The Company shall not, and the Company shall cause each of its Subsidiaries to not, directly or indirectly, modify its or their corporate structure or purpose.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xml:space="preserve">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Maintenance of Intellectual Property</w:t>
      </w:r>
      <w:r>
        <w:rPr>
          <w:rFonts w:ascii="Times New Roman;Times;Serif" w:hAnsi="Times New Roman;Times;Serif"/>
          <w:b w:val="false"/>
          <w:i w:val="false"/>
          <w:caps w:val="false"/>
          <w:smallCaps w:val="false"/>
          <w:sz w:val="20"/>
        </w:rPr>
        <w:t>. The Company will, and will cause each of its Subsidiaries to, take all action necessary or advisable to maintain all of the Intellectual Property Rights of the Company and/or any of its Subsidiaries that are necessary or material to the conduct of its business in full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The Company shall maintain, and cause each of its Subsidiaries to maintain, insurance with responsible and reputable insurance companies or associations (including, without limitation, comprehensive general liability, property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Restricted Issuances</w:t>
      </w:r>
      <w:r>
        <w:rPr>
          <w:rFonts w:ascii="Times New Roman;Times;Serif" w:hAnsi="Times New Roman;Times;Serif"/>
          <w:b w:val="false"/>
          <w:i w:val="false"/>
          <w:caps w:val="false"/>
          <w:smallCaps w:val="false"/>
          <w:sz w:val="20"/>
        </w:rPr>
        <w:t>. The Company shall not, directly or indirectly, without the prior written consent of the holders of a majority in aggregate principal amount of the Notes then outstanding, (i) issue any Notes (other than as contemplated by the Exchange Agreement (or any Other Exchange Agreement) and the Notes) or (ii) issue any other securities that would cause (or with the passage of time would reasonably be expected to cause) an Event of Default under the Notes.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Financial Covenants; Announcement of Operating Results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maintain, at all times, a balance of Available Cash in an aggregate amount equal to or exceed, as applicable, $2.0 million (the “</w:t>
      </w:r>
      <w:r>
        <w:rPr>
          <w:rFonts w:ascii="Times New Roman;Times;Serif" w:hAnsi="Times New Roman;Times;Serif"/>
          <w:b/>
          <w:i w:val="false"/>
          <w:caps w:val="false"/>
          <w:smallCaps w:val="false"/>
          <w:sz w:val="20"/>
        </w:rPr>
        <w:t>Financial Test</w:t>
      </w:r>
      <w:r>
        <w:rPr>
          <w:rFonts w:ascii="Times New Roman;Times;Serif" w:hAnsi="Times New Roman;Times;Serif"/>
          <w:b w:val="false"/>
          <w:i w:val="false"/>
          <w:caps w:val="false"/>
          <w:smallCaps w:val="false"/>
          <w:sz w:val="20"/>
        </w:rPr>
        <w: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Operating Results Announcement</w:t>
      </w:r>
      <w:r>
        <w:rPr>
          <w:rFonts w:ascii="Times New Roman;Times;Serif" w:hAnsi="Times New Roman;Times;Serif"/>
          <w:b w:val="false"/>
          <w:i w:val="false"/>
          <w:caps w:val="false"/>
          <w:smallCaps w:val="false"/>
          <w:sz w:val="20"/>
        </w:rPr>
        <w:t>. Commencing on the Issuance Date, upon the occurrence of an Event of Default pursuant to Section 4(a)(xvii) (each such failure, a “</w:t>
      </w:r>
      <w:r>
        <w:rPr>
          <w:rFonts w:ascii="Times New Roman;Times;Serif" w:hAnsi="Times New Roman;Times;Serif"/>
          <w:b/>
          <w:i w:val="false"/>
          <w:caps w:val="false"/>
          <w:smallCaps w:val="false"/>
          <w:sz w:val="20"/>
        </w:rPr>
        <w:t>Financial Covenant Failure</w:t>
      </w:r>
      <w:r>
        <w:rPr>
          <w:rFonts w:ascii="Times New Roman;Times;Serif" w:hAnsi="Times New Roman;Times;Serif"/>
          <w:b w:val="false"/>
          <w:i w:val="false"/>
          <w:caps w:val="false"/>
          <w:smallCaps w:val="false"/>
          <w:sz w:val="20"/>
        </w:rPr>
        <w:t>”), the Company shall notify the Holder in writing that it desires to deliver to the Holder material non-public information (each, a “</w:t>
      </w:r>
      <w:r>
        <w:rPr>
          <w:rFonts w:ascii="Times New Roman;Times;Serif" w:hAnsi="Times New Roman;Times;Serif"/>
          <w:b/>
          <w:i w:val="false"/>
          <w:caps w:val="false"/>
          <w:smallCaps w:val="false"/>
          <w:sz w:val="20"/>
        </w:rPr>
        <w:t>Pre-Notice</w:t>
      </w:r>
      <w:r>
        <w:rPr>
          <w:rFonts w:ascii="Times New Roman;Times;Serif" w:hAnsi="Times New Roman;Times;Serif"/>
          <w:b w:val="false"/>
          <w:i w:val="false"/>
          <w:caps w:val="false"/>
          <w:smallCaps w:val="false"/>
          <w:sz w:val="20"/>
        </w:rPr>
        <w:t>”). If the Holder upon receipt of such Pre-Notice elects in writing to receive such material non-public information (which may be an e-mail), the Company shall promptly provide to the Holders a written certification, executed on behalf of the Company by the Chief Financial Officer of the Company, certifying that a Financial Covenant Failure exists for such Fiscal Quarter or Fiscal Year, as applicable (each, a “</w:t>
      </w:r>
      <w:r>
        <w:rPr>
          <w:rFonts w:ascii="Times New Roman;Times;Serif" w:hAnsi="Times New Roman;Times;Serif"/>
          <w:b/>
          <w:i w:val="false"/>
          <w:caps w:val="false"/>
          <w:smallCaps w:val="false"/>
          <w:sz w:val="20"/>
        </w:rPr>
        <w:t>Financial Covenant Event Notice</w:t>
      </w:r>
      <w:r>
        <w:rPr>
          <w:rFonts w:ascii="Times New Roman;Times;Serif" w:hAnsi="Times New Roman;Times;Serif"/>
          <w:b w:val="false"/>
          <w:i w:val="false"/>
          <w:caps w:val="false"/>
          <w:smallCaps w:val="false"/>
          <w:sz w:val="20"/>
        </w:rPr>
        <w:t>”). By no later than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after the date the Company delivers such Financial Covenant Event Notice to the Holder, the Company shall also make publicly available (as part of a Quarterly Report on Form 10-Q, Annual Report on Form 10-K or on a Current Report on Form 8-K, or otherwise) the Financial Covenant Event Notice and the fact that an Event of Default has occurred under the Notes. If upon receipt of a Pre-Notice, the Holder elects not to receive any material non-public information, the Company shall have no obligation to deliver such Financial Covenant Event Notice to the Holder and the occurrence of such Financial Covenant Failure and the fact that an Event of Default has occurred under the Notes shall be publicly disclosed and disseminated at such time as required by the rules and regulations of the 1934 Act and the SEC.</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PCAOB Registered Auditor</w:t>
      </w:r>
      <w:r>
        <w:rPr>
          <w:rFonts w:ascii="Times New Roman;Times;Serif" w:hAnsi="Times New Roman;Times;Serif"/>
          <w:b w:val="false"/>
          <w:i w:val="false"/>
          <w:caps w:val="false"/>
          <w:smallCaps w:val="false"/>
          <w:sz w:val="20"/>
        </w:rPr>
        <w:t>. At all times any Notes remain outstanding, the Company shall have engaged an independent auditor to audit its financial statements that is registered with (and in compliance with the rules and regulations of) the Public Company Accounting Oversight Board.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Independent Investigation</w:t>
      </w:r>
      <w:r>
        <w:rPr>
          <w:rFonts w:ascii="Times New Roman;Times;Serif" w:hAnsi="Times New Roman;Times;Serif"/>
          <w:b w:val="false"/>
          <w:i w:val="false"/>
          <w:caps w:val="false"/>
          <w:smallCaps w:val="false"/>
          <w:sz w:val="20"/>
        </w:rPr>
        <w:t>. At the request of the Holder either (x) at any time when an Event of Default has occurred and is continuing, (y) upon the occurrence of an event that with the passage of time or giving of notice would constitute an Event of Default or (z) at any time the Holder reasonably believes an Event of Default may have occurred or be continuing, the Company shall hire an independent, reputable investment bank selected by the Company and approved by the Holder to investigate as to whether any breach of this Note has occurred (the “</w:t>
      </w:r>
      <w:r>
        <w:rPr>
          <w:rFonts w:ascii="Times New Roman;Times;Serif" w:hAnsi="Times New Roman;Times;Serif"/>
          <w:b/>
          <w:i w:val="false"/>
          <w:caps w:val="false"/>
          <w:smallCaps w:val="false"/>
          <w:sz w:val="20"/>
        </w:rPr>
        <w:t>Independent Investigator</w:t>
      </w:r>
      <w:r>
        <w:rPr>
          <w:rFonts w:ascii="Times New Roman;Times;Serif" w:hAnsi="Times New Roman;Times;Serif"/>
          <w:b w:val="false"/>
          <w:i w:val="false"/>
          <w:caps w:val="false"/>
          <w:smallCaps w:val="false"/>
          <w:sz w:val="20"/>
        </w:rPr>
        <w:t>”). If the Independent Investigator determines that such breach of this Note has occurred, the Independent Investigator shall notify the Company of such breach and the Company shall deliver written notice to each holder of a Note of such breach. In connection with such investigation, the Independent Investigator may, during normal business hours, inspect all contracts, books, records, personnel, offices and other facilities and properties of the Company and its Subsidiaries and, to the extent available to the Company after the Company uses reasonable efforts to obtain them, the records of its legal advisors and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DISTRIBUTION OF ASSETS</w:t>
      </w:r>
      <w:r>
        <w:rPr>
          <w:rFonts w:ascii="Times New Roman;Times;Serif" w:hAnsi="Times New Roman;Times;Serif"/>
          <w:b w:val="false"/>
          <w:i w:val="false"/>
          <w:caps w:val="false"/>
          <w:smallCaps w:val="false"/>
          <w:sz w:val="20"/>
        </w:rPr>
        <w:t>. In addition to any adjustments pursuant to Sections 6(a) or 7,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Times;Serif" w:hAnsi="Times New Roman;Times;Serif"/>
          <w:b/>
          <w:i w:val="false"/>
          <w:caps w:val="false"/>
          <w:smallCaps w:val="false"/>
          <w:sz w:val="20"/>
        </w:rPr>
        <w:t>Distributions</w:t>
      </w:r>
      <w:r>
        <w:rPr>
          <w:rFonts w:ascii="Times New Roman;Times;Serif" w:hAnsi="Times New Roman;Times;Serif"/>
          <w:b w:val="false"/>
          <w:i w:val="false"/>
          <w:caps w:val="false"/>
          <w:smallCaps w:val="false"/>
          <w:sz w:val="20"/>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Alternate Conversion Price as of the applicable record date) immediately prior to the date on which a record is taken for such Distribution or, if no such record is taken, the date as of which the record holders of Common Stock are to be determined for such Distributions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AMENDING THE TERMS OF THIS NOTE</w:t>
      </w:r>
      <w:r>
        <w:rPr>
          <w:rFonts w:ascii="Times New Roman;Times;Serif" w:hAnsi="Times New Roman;Times;Serif"/>
          <w:b w:val="false"/>
          <w:i w:val="false"/>
          <w:caps w:val="false"/>
          <w:smallCaps w:val="false"/>
          <w:sz w:val="20"/>
        </w:rPr>
        <w:t>. Except for Section 3(d) and this Section 18, which may not be amended, modified or waived by the parties hereto, the prior written consent of the Required Holders shall be required for any change, waiver or amendment to this Note and any Other Notes. Any change, waiver or amendment so approved shall be binding upon all existing and future holders of this Note and any Other Notes; provided, however, that no such change, waiver or amendment, as applied to any of the Notes held by any particular holder of Notes, shall, without the written consent of that particular holder, disproportionally and adversely affect any rights under the Notes of any holder of Notes. In the event that the Company and the Required Holders amend the Notes, the Company shall provide written notice of such amendment, including a copy of the amendment and a summary of its material terms, to all other holders at or after 4:00 p.m. New York time on the same calendar day such amendment is made, and in no event later than the date immediately prior to the public disclosure of such amendment, whether by the filing of a Current Report on Form 8-K or by any other public announcement or filing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Note and any shares of Common Stock issued upon conversion of this Note may be offered, sold, assigned or transferred by the Holder without the consent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REISSUANCE OF THIS NOTE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If this Note is to be transferred, the Holder shall surrender this Note to the Company, whereupon the Company will forthwith issue and deliver upon the order of the Holder a new Note (in accordance with Section 20(d)), registered as the Holder may request, representing the outstanding Principal being transferred by the Holder and, if less than the entire outstanding Principal is being transferred, a new Note (in accordance with Section 20(d))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Note</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20(d)) representing the outstanding Principal.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Note Exchangeable for Different Denominations</w:t>
      </w:r>
      <w:r>
        <w:rPr>
          <w:rFonts w:ascii="Times New Roman;Times;Serif" w:hAnsi="Times New Roman;Times;Serif"/>
          <w:b w:val="false"/>
          <w:i w:val="false"/>
          <w:caps w:val="false"/>
          <w:smallCaps w:val="false"/>
          <w:sz w:val="20"/>
        </w:rPr>
        <w:t>. This Note is exchangeable, upon the surrender hereof by the Holder at the principal office of the Company, for a new Note or Notes (in accordance with Section 20(d) and in principal amounts of at least $1,000) representing in the aggregate the outstanding Principal of this Note, and each such new Note will represent such portion of such outstanding Principal as is designated by the Holder at the time of such surrender.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Notes</w:t>
      </w:r>
      <w:r>
        <w:rPr>
          <w:rFonts w:ascii="Times New Roman;Times;Serif" w:hAnsi="Times New Roman;Times;Serif"/>
          <w:b w:val="false"/>
          <w:i w:val="false"/>
          <w:caps w:val="false"/>
          <w:smallCaps w:val="false"/>
          <w:sz w:val="20"/>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20(a) or Section 20(c),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an exchange date, as indicated on the face of such new Note, which is the same as the Exchange Date of this Note, (v) shall have the same rights and conditions as this Note, and (vi) shall represent accrued and unpaid Interest and Late Charges on the Principal, Make-Whole Amount and Interest of this Note, from the Issuance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REMEDIES, CHARACTERIZATIONS, OTHER OBLIGATIONS, BREACHES AND INJUNCTIVE RELIEF</w:t>
      </w:r>
      <w:r>
        <w:rPr>
          <w:rFonts w:ascii="Times New Roman;Times;Serif" w:hAnsi="Times New Roman;Times;Serif"/>
          <w:b w:val="false"/>
          <w:i w:val="false"/>
          <w:caps w:val="false"/>
          <w:smallCaps w:val="false"/>
          <w:sz w:val="20"/>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reasonably requested by the Holder to enable the Holder to confirm the Company’s compliance with the terms and conditions of this Note (including, without limitation, compliance with Section 7).</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PAYMENT OF COLLECTION, ENFORCEMENT AND OTHER COSTS</w:t>
      </w:r>
      <w:r>
        <w:rPr>
          <w:rFonts w:ascii="Times New Roman;Times;Serif" w:hAnsi="Times New Roman;Times;Serif"/>
          <w:b w:val="false"/>
          <w:i w:val="false"/>
          <w:caps w:val="false"/>
          <w:smallCaps w:val="false"/>
          <w:sz w:val="20"/>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Exchange Date in such other Transaction Documents unless otherwise consented to in writing by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24 shall permit any waiver of any provision of Section 3(d).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Submission to Dispute Resolution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dispute relating to a Closing Bid Price, a Closing Sale Price, a Conversion Price, an Alternate Conversion Price, the Amortization Amount, a Black Scholes Consideration Value, a VWAP or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two (2)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Alternate Conversion Price, such Amortization Amount, such Black Scholes Consideration Value, such VWAP or such fair market value, or the arithmetic calculation of such Conversion Rate or such applicable Redemption Price (as the case may be), at any time after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following such initial notice by the Company or the Holder (as the case may be) of such dispute to the Company or the Holder (as the case may be), then the Holder may, subject to the approval of the Company (such approval not to be unreasonably withheld, conditioned or delayed), select an independent, reputable investment bank to resolve such dispute.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Holder and the Company shall each deliver to such investment bank (A) a copy of the initial dispute submission so delivered in accordance with the first sentence of this Section 25 and (B) written documentation supporting its position with respect to such dispute, in each case, no later than 5:00 p.m. (New York time) by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immediately following the date on which the Holder selected such investment bank (the “</w:t>
      </w:r>
      <w:r>
        <w:rPr>
          <w:rFonts w:ascii="Times New Roman;Times;Serif" w:hAnsi="Times New Roman;Times;Serif"/>
          <w:b/>
          <w:i w:val="false"/>
          <w:caps w:val="false"/>
          <w:smallCaps w:val="false"/>
          <w:sz w:val="20"/>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rPr>
        <w:t>Required Dispute Documentation</w:t>
      </w:r>
      <w:r>
        <w:rPr>
          <w:rFonts w:ascii="Times New Roman;Times;Serif" w:hAnsi="Times New Roman;Times;Serif"/>
          <w:b w:val="false"/>
          <w:i w:val="false"/>
          <w:caps w:val="false"/>
          <w:smallCaps w:val="false"/>
          <w:sz w:val="20"/>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Holder or otherwise requested by such investment bank, neither the Company nor the Holder shall be entitled to deliver or submit any written documentation or other support to such investment bank in connection with such dispute (other than the Required Dispute Documentation).</w:t>
      </w:r>
    </w:p>
    <w:p>
      <w:pPr>
        <w:pStyle w:val="TextBody"/>
        <w:bidi w:val="0"/>
        <w:spacing w:before="0" w:after="0"/>
        <w:ind w:left="144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and the Holder shall cause such investment bank to determine the resolution of such dispute and notify the Company and the Holder of such resolution no later than ten (10) Business Days immediately following the Dispute Submission Deadline. The fees and expenses of such investment bank shall be borne solely by the Company, and such investment bank’s resolution of such dispute shall be final and binding upon all parties absent manifest error.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The Company expressly acknowledges and agrees that (i) this Section 25 constitutes an agreement to arbitrate between the Company and the Holder (and constitutes an arbitration agreement) under the § 7501, et seq. of the New York Civil Practice Law and Rules (“</w:t>
      </w:r>
      <w:r>
        <w:rPr>
          <w:rFonts w:ascii="Times New Roman;Times;Serif" w:hAnsi="Times New Roman;Times;Serif"/>
          <w:b/>
          <w:i w:val="false"/>
          <w:caps w:val="false"/>
          <w:smallCaps w:val="false"/>
          <w:sz w:val="20"/>
        </w:rPr>
        <w:t>CPLR</w:t>
      </w:r>
      <w:r>
        <w:rPr>
          <w:rFonts w:ascii="Times New Roman;Times;Serif" w:hAnsi="Times New Roman;Times;Serif"/>
          <w:b w:val="false"/>
          <w:i w:val="false"/>
          <w:caps w:val="false"/>
          <w:smallCaps w:val="false"/>
          <w:sz w:val="20"/>
        </w:rPr>
        <w:t>”) and that each of the Holder and the Company is authorized to apply for an order to compel arbitration pursuant to CPLR § 7503(a) in order to compel compliance with this Section 25, (ii)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(iii) each of the Company and the Holder shall have the right to submit any dispute described in this Section 25 to any state or federal court sitting in The City of New York, Borough of Manhattan in lieu of utilizing the procedures set forth in this Section 25 and (iv) nothing in this Section 25 shall limit the Holder or the Company from obtaining any injunctive relief or other equitable remedies (including, without limitation, with respect to any matters described in this Section 25).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NOTICES; CURRENCY;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Note, unless otherwise provided herein, such notice shall be given in accordance with Section 13 of the Exchange Agreement.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Currency</w:t>
      </w:r>
      <w:r>
        <w:rPr>
          <w:rFonts w:ascii="Times New Roman;Times;Serif" w:hAnsi="Times New Roman;Times;Serif"/>
          <w:b w:val="false"/>
          <w:i w:val="false"/>
          <w:caps w:val="false"/>
          <w:smallCaps w:val="false"/>
          <w:sz w:val="20"/>
        </w:rPr>
        <w:t>. All dollar amounts referred to in this Note are in United States Dollars (“</w:t>
      </w:r>
      <w:r>
        <w:rPr>
          <w:rFonts w:ascii="Times New Roman;Times;Serif" w:hAnsi="Times New Roman;Times;Serif"/>
          <w:b/>
          <w:i w:val="false"/>
          <w:caps w:val="false"/>
          <w:smallCaps w:val="false"/>
          <w:sz w:val="20"/>
        </w:rPr>
        <w:t>U.S. Dollars</w:t>
      </w:r>
      <w:r>
        <w:rPr>
          <w:rFonts w:ascii="Times New Roman;Times;Serif" w:hAnsi="Times New Roman;Times;Serif"/>
          <w:b w:val="false"/>
          <w:i w:val="false"/>
          <w:caps w:val="false"/>
          <w:smallCaps w:val="false"/>
          <w:sz w:val="20"/>
        </w:rPr>
        <w:t>”), and all amounts owing under this Note shall be paid in U.S. Dollars. All amounts denominated in other currencies (if any) shall be converted into the U.S. Dollar equivalent amount in accordance with the Exchange Rate on the date of calculation. “</w:t>
      </w:r>
      <w:r>
        <w:rPr>
          <w:rFonts w:ascii="Times New Roman;Times;Serif" w:hAnsi="Times New Roman;Times;Serif"/>
          <w:b/>
          <w:i w:val="false"/>
          <w:caps w:val="false"/>
          <w:smallCaps w:val="false"/>
          <w:sz w:val="20"/>
        </w:rPr>
        <w:t>Exchange Rate</w:t>
      </w:r>
      <w:r>
        <w:rPr>
          <w:rFonts w:ascii="Times New Roman;Times;Serif" w:hAnsi="Times New Roman;Times;Serif"/>
          <w:b w:val="false"/>
          <w:i w:val="false"/>
          <w:caps w:val="false"/>
          <w:smallCaps w:val="false"/>
          <w:sz w:val="20"/>
        </w:rPr>
        <w:t>” means, in relation to any amount of currency to be converted into U.S. Dollars pursuant to this Note, the U.S. Dollar exchange rate as published in the Wall Street Journal on the relevant date of calculation (it being understood and agreed that where an amount is calculated with reference to, or over, a period of time, the date of calculation shall be the final date of such period of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(which address, in the case of the Holder, shall initially be as set forth on the Holder’s signature page to the Exchange Agreement),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(except to the extent such amount is simultaneously accruing Interest at the Default Rate hereunder) shall result in a late charge being incurred and payable by the Company in an amount equal to interest on such amount at the rate of thirteen percent (13%) per annum from the date such amount was due until the same is paid in full (“</w:t>
      </w:r>
      <w:r>
        <w:rPr>
          <w:rFonts w:ascii="Times New Roman;Times;Serif" w:hAnsi="Times New Roman;Times;Serif"/>
          <w:b/>
          <w:i w:val="false"/>
          <w:caps w:val="false"/>
          <w:smallCaps w:val="false"/>
          <w:sz w:val="20"/>
        </w:rPr>
        <w:t>Late Charge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After all Outstanding Value and other amounts at any time owed on this Note or any other Transaction Documents have been paid in full, this Note shall automatically be deemed canceled, shall be surrendered to the Company for cancellation and shall not be reissued.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To the extent permitted by law, the Company hereby irrevocably waives demand, notice, presentment, protest and all other demands and notices in connection with the delivery, acceptance, performance, default or enforcement of this Note and the Exchange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xml:space="preserve">. This Note shall be construed and enforced in accordance with, and all questions concerning the construction, validity, interpretation and performance of this Note shall be governed by, the internal laws of the State of New York, without giving effect to any provision or rule (whether of the State of New York or any other jurisdictions) that would cause the application of the laws of any jurisdictions other than the State of New York. Except as otherwise required by Section 25 above,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or to enforce a judgment or other court ruling in favor of the Holder or (ii) shall limit, or shall be deemed or construed to limit, any provision of Section 25. </w:t>
      </w:r>
      <w:r>
        <w:rPr>
          <w:rFonts w:ascii="Times New Roman;Times;Serif" w:hAnsi="Times New Roman;Times;Serif"/>
          <w:b/>
          <w:i w:val="false"/>
          <w:caps w:val="false"/>
          <w:smallCaps w:val="false"/>
          <w:sz w:val="20"/>
        </w:rPr>
        <w:t>THE COMPANY HEREBY IRREVOCABLY WAIVES ANY RIGHT IT MAY HAVE TO, AND AGREES NOT TO REQUEST, A JURY TRIAL FOR THE ADJUDICATION OF ANY DISPUTE HEREUNDER OR IN CONNECTION WITH OR ARISING OUT OF THIS NOTE OR ANY TRANSACTION CONTEMPLATED HEREBY.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30.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for the purpose of obtaining or enforcing judgment against the Company in any court in any jurisdiction it becomes necessary to convert into any other currency (such other currency being hereinafter in this Section 30 referred to as the “</w:t>
      </w:r>
      <w:r>
        <w:rPr>
          <w:rFonts w:ascii="Times New Roman;Times;Serif" w:hAnsi="Times New Roman;Times;Serif"/>
          <w:b/>
          <w:i w:val="false"/>
          <w:caps w:val="false"/>
          <w:smallCaps w:val="false"/>
          <w:sz w:val="20"/>
        </w:rPr>
        <w:t>Judgment Currency</w:t>
      </w:r>
      <w:r>
        <w:rPr>
          <w:rFonts w:ascii="Times New Roman;Times;Serif" w:hAnsi="Times New Roman;Times;Serif"/>
          <w:b w:val="false"/>
          <w:i w:val="false"/>
          <w:caps w:val="false"/>
          <w:smallCaps w:val="false"/>
          <w:sz w:val="20"/>
        </w:rPr>
        <w:t>”) an amount due in U.S. dollars under this Note, the conversion shall be made at the Exchange Rate prevailing on the Trading Day immediately preceding: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date actual payment of the amount due, in the case of any proceeding in the courts of New York or in the courts of any other jurisdiction that will give effect to such conversion being made on such date: or</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108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on which the foreign court determines, in the case of any proceeding in the courts of any other jurisdiction (the date as of which such conversion is made pursuant to this Section 30(a)(ii) being hereinafter referred to as the “</w:t>
      </w:r>
      <w:r>
        <w:rPr>
          <w:rFonts w:ascii="Times New Roman;Times;Serif" w:hAnsi="Times New Roman;Times;Serif"/>
          <w:b/>
          <w:i w:val="false"/>
          <w:caps w:val="false"/>
          <w:smallCaps w:val="false"/>
          <w:sz w:val="20"/>
        </w:rPr>
        <w:t>Judgment Conversion Date</w:t>
      </w:r>
      <w:r>
        <w:rPr>
          <w:rFonts w:ascii="Times New Roman;Times;Serif" w:hAnsi="Times New Roman;Times;Serif"/>
          <w:b w:val="false"/>
          <w:i w:val="false"/>
          <w:caps w:val="false"/>
          <w:smallCaps w:val="false"/>
          <w:sz w:val="20"/>
        </w:rPr>
        <w:t>”).</w:t>
      </w:r>
    </w:p>
    <w:p>
      <w:pPr>
        <w:pStyle w:val="TextBody"/>
        <w:bidi w:val="0"/>
        <w:spacing w:before="0" w:after="0"/>
        <w:ind w:left="1080" w:right="0" w:firstLine="108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in the case of any proceeding in the court of any jurisdiction referred to in Section 30(a)(ii)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amount due from the Company under this provision shall be due as a separate debt and shall not be affected by judgment being obtained for any other amounts due under or in respect of this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MAXIMUM PAYMENTS</w:t>
      </w:r>
      <w:r>
        <w:rPr>
          <w:rFonts w:ascii="Times New Roman;Times;Serif" w:hAnsi="Times New Roman;Times;Serif"/>
          <w:b w:val="false"/>
          <w:i w:val="false"/>
          <w:caps w:val="false"/>
          <w:smallCaps w:val="false"/>
          <w:sz w:val="20"/>
        </w:rPr>
        <w: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Note, the following terms shall have the following meanings: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means the Securities Act of 1933, as amended, and the rules and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and the rules and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Adjustment Right</w:t>
      </w:r>
      <w:r>
        <w:rPr>
          <w:rFonts w:ascii="Times New Roman;Times;Serif" w:hAnsi="Times New Roman;Times;Serif"/>
          <w:b w:val="false"/>
          <w:i w:val="false"/>
          <w:caps w:val="false"/>
          <w:smallCaps w:val="false"/>
          <w:sz w:val="20"/>
        </w:rPr>
        <w:t>” means any right granted with respect to any securities issued in connection with, or with respect to, any issuance or sale (or deemed issuance or sale in accordance with Section 7) of shares of Common Stock (other than rights of the type described in Section 6(a) hereof)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10% or more of the stock having ordinary voting power for the election of directors of such Person or direct or cause the direction of the management and policies of such Person whether by contract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Alternate Conversion Price</w:t>
      </w:r>
      <w:r>
        <w:rPr>
          <w:rFonts w:ascii="Times New Roman;Times;Serif" w:hAnsi="Times New Roman;Times;Serif"/>
          <w:b w:val="false"/>
          <w:i w:val="false"/>
          <w:caps w:val="false"/>
          <w:smallCaps w:val="false"/>
          <w:sz w:val="20"/>
        </w:rPr>
        <w:t>” means, with respect to any Alternate Conversion that price which shall be the lower of (i) the applicable Conversion Price as in effect on the applicable Conversion Date of the applicable Alternate Conversion, and (ii) 93% of the lowest VWAP of the Common Stock during the seven (7) consecutive Trading Day period ending and including the Trading Day of the delivery or deemed delivery of the applicable Conversion Notice (such period, the “</w:t>
      </w:r>
      <w:r>
        <w:rPr>
          <w:rFonts w:ascii="Times New Roman;Times;Serif" w:hAnsi="Times New Roman;Times;Serif"/>
          <w:b/>
          <w:i w:val="false"/>
          <w:caps w:val="false"/>
          <w:smallCaps w:val="false"/>
          <w:sz w:val="20"/>
        </w:rPr>
        <w:t>Alternate Conversion Measuring Period</w:t>
      </w:r>
      <w:r>
        <w:rPr>
          <w:rFonts w:ascii="Times New Roman;Times;Serif" w:hAnsi="Times New Roman;Times;Serif"/>
          <w:b w:val="false"/>
          <w:i w:val="false"/>
          <w:caps w:val="false"/>
          <w:smallCaps w:val="false"/>
          <w:sz w:val="20"/>
        </w:rPr>
        <w:t>”). All such determinations to be appropriately adjusted for any share dividend, stock split, share combination, reclassification or similar transaction that proportionately decreases or increases the shares of Common Stock during such Alternate Conversion Measuring Period.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Amortization Amount</w:t>
      </w:r>
      <w:r>
        <w:rPr>
          <w:rFonts w:ascii="Times New Roman;Times;Serif" w:hAnsi="Times New Roman;Times;Serif"/>
          <w:b w:val="false"/>
          <w:i w:val="false"/>
          <w:caps w:val="false"/>
          <w:smallCaps w:val="false"/>
          <w:sz w:val="20"/>
        </w:rPr>
        <w:t>” means the sum of (A) the lesser of (x) $$[●], and (y) the Outstanding Principal Value then outstanding as of such Amortization Date (subject to reduction with respect to any Deferral to any later date), (B) any Deferral Amount previously deferred to, and included in, such Amortization Amount in accordance herewith, (C) any Make-Whole Amount as of such Amortization Date with respect to such Outstanding Principal Value, (D) the sum of any accrued and unpaid Interest as of such Amortization Date with respect to such Outstanding Principal Value, (E) any accrued and unpaid Late Charges, if any, under this Note as of such Amortization Date with respect to such Outstanding Principal Value, Make-Whole Amount and/or Interest, as applicable, and (F) any other unpaid amounts pursuant to the Transaction Documents, if any, due or overdue as of such Amortization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Approved Stock Plan</w:t>
      </w:r>
      <w:r>
        <w:rPr>
          <w:rFonts w:ascii="Times New Roman;Times;Serif" w:hAnsi="Times New Roman;Times;Serif"/>
          <w:b w:val="false"/>
          <w:i w:val="false"/>
          <w:caps w:val="false"/>
          <w:smallCaps w:val="false"/>
          <w:sz w:val="20"/>
        </w:rPr>
        <w:t>” means any employee benefit plan which has been approved by the board of directors of the Company prior to or subsequent to the Subscription Date pursuant to which shares of Common Stock and standard options to purchase Common Stock may be issued to any employee, officer or director for services provided to the Company in their capacity as such.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Available Cash</w:t>
      </w:r>
      <w:r>
        <w:rPr>
          <w:rFonts w:ascii="Times New Roman;Times;Serif" w:hAnsi="Times New Roman;Times;Serif"/>
          <w:b w:val="false"/>
          <w:i w:val="false"/>
          <w:caps w:val="false"/>
          <w:smallCaps w:val="false"/>
          <w:sz w:val="20"/>
        </w:rPr>
        <w:t>” means, with respect to any date of determination, an amount equal to the aggregate amount of the unrestricted Cash of the Company and its Subsidiaries as of such date of determination held in bank accounts of financial banking institutions in the United States of America.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Black Scholes Consideration Value</w:t>
      </w:r>
      <w:r>
        <w:rPr>
          <w:rFonts w:ascii="Times New Roman;Times;Serif" w:hAnsi="Times New Roman;Times;Serif"/>
          <w:b w:val="false"/>
          <w:i w:val="false"/>
          <w:caps w:val="false"/>
          <w:smallCaps w:val="false"/>
          <w:sz w:val="20"/>
        </w:rPr>
        <w:t>” means the value of the applicable Option, Convertible Security or Adjustment Right (as the case may be) as of the date of issuance thereof calculated using the Black Scholes Option Pricing Model obtained from the “OV” function on Bloomberg utilizing (i) an underlying price per share equal to the Closing Sale Price of the Common Stock on the Trading Day immediately preceding the public announcement of the execution of definitive documents with respect to the issuance of such Option, Convertible Security or Adjustment Right (as the case may be), (ii) a risk-free interest rate corresponding to the U.S. Treasury rate for a period equal to the remaining term of such Option, Convertible Security or Adjustment Right (as the case may be) as of the date of issuance of such Option, Convertible Security or Adjustment Right (as the case may be), (iii) a zero cost of borrow and (iv) an expected volatility equal to the greater of 100% and the 100 day volatility obtained from the “HVT” function on Bloomberg (determined utilizing a 365 day annualization factor) as of the Trading Day immediately following the date of issuance of such Option, Convertible Security or Adjustment Right (as the case may be).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L.P.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of the Company and its Subsidiaries on any date shall be determined from such Persons’ books maintained in accordance with GAAP, and means, without duplication, the cash, cash equivalents and Eligible Marketable Securities accrued by the Company and its wholly owned Subsidiaries on a consolidated basis on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(iii) pursuant to a migratory merger effected solely for the purpose of changing the jurisdiction of incorporation of the Company or any of its Subsidiaries, or (iv) a merger in connection with a bona fide acquisition by the Company of any Person in which (x) the gross consideration paid, directly or indirectly, by the Company in such acquisition is not equal to or greater than 20% of the Company’s market capitalization as calculated on the date of the announcement of such merger and the date of the consummation of such merger, (y) such merger does not contemplate a change to the identity of a majority of the board of directors of the Company and (z) holders of the Company’s voting power immediately prior to such merger and/or acquisition continue after such merger and/or acquisition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merger and/or acquisition.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Change of Control Redemption Premium</w:t>
      </w:r>
      <w:r>
        <w:rPr>
          <w:rFonts w:ascii="Times New Roman;Times;Serif" w:hAnsi="Times New Roman;Times;Serif"/>
          <w:b w:val="false"/>
          <w:i w:val="false"/>
          <w:caps w:val="false"/>
          <w:smallCaps w:val="false"/>
          <w:sz w:val="20"/>
        </w:rPr>
        <w:t>” means 110%.</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splits, stock dividends, stock combinations, recapitalizations or other similar transactions during such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$0.001 par value per share, and (ii) any capital stock into which such common stock shall have been changed or any share capital resulting from a reclassification of such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Contingent Obligation</w:t>
      </w:r>
      <w:r>
        <w:rPr>
          <w:rFonts w:ascii="Times New Roman;Times;Serif" w:hAnsi="Times New Roman;Times;Serif"/>
          <w:b w:val="false"/>
          <w:i w:val="false"/>
          <w:caps w:val="false"/>
          <w:smallCaps w:val="false"/>
          <w:sz w:val="20"/>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Current Subsidiary</w:t>
      </w:r>
      <w:r>
        <w:rPr>
          <w:rFonts w:ascii="Times New Roman;Times;Serif" w:hAnsi="Times New Roman;Times;Serif"/>
          <w:b w:val="false"/>
          <w:i w:val="false"/>
          <w:caps w:val="false"/>
          <w:smallCaps w:val="false"/>
          <w:sz w:val="20"/>
        </w:rPr>
        <w:t>” means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w:t>
      </w:r>
      <w:r>
        <w:rPr>
          <w:rFonts w:ascii="Times New Roman;Times;Serif" w:hAnsi="Times New Roman;Times;Serif"/>
          <w:b/>
          <w:i w:val="false"/>
          <w:caps w:val="false"/>
          <w:smallCaps w:val="false"/>
          <w:sz w:val="20"/>
        </w:rPr>
        <w:t>Current Subsidiaries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Default Rate</w:t>
      </w:r>
      <w:r>
        <w:rPr>
          <w:rFonts w:ascii="Times New Roman;Times;Serif" w:hAnsi="Times New Roman;Times;Serif"/>
          <w:b w:val="false"/>
          <w:i w:val="false"/>
          <w:caps w:val="false"/>
          <w:smallCaps w:val="false"/>
          <w:sz w:val="20"/>
        </w:rPr>
        <w:t>” means thirteen percent (13%) per annum.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New York Stock Exchange, the NYSE American, the Nasdaq Global Select Market, the Nasdaq Global Market or the Nasdaq Capital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Eligible Marketable Securities</w:t>
      </w:r>
      <w:r>
        <w:rPr>
          <w:rFonts w:ascii="Times New Roman;Times;Serif" w:hAnsi="Times New Roman;Times;Serif"/>
          <w:b w:val="false"/>
          <w:i w:val="false"/>
          <w:caps w:val="false"/>
          <w:smallCaps w:val="false"/>
          <w:sz w:val="20"/>
        </w:rPr>
        <w:t>” as of any date means marketable securities which would be reflected on a consolidated balance sheet of the Company and its Subsidiaries prepared as of such date in accordance with GAAP, and which are permitted under the Company’s investment policies as in effect on the Issuance Date or approved thereafter by the Company’s Board of Directors.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(i) shares of Common Stock or standard options to purchase Common Stock issued to directors, officers or employees of the Company for services rendered to the Company in their capacity as such pursuant to an Approved Stock Plan (as defined above), provided that (A) all such issuances (taking into account the shares of Common Stock issuable upon exercise of such options) after the Subscription Date pursuant to this clause (i) do not, in the aggregate, exceed more than 20% of the Common Stock issued and outstanding immediately prior to the Subscription Date and (B) the exercise price of any such options is not lowered, none of such options are amended to increase the number of shares issuable thereunder and none of the terms or conditions of any such options are otherwise materially changed in any manner that adversely affects any of the Investors; (ii) shares of Common Stock issued upon the conversion or exercise of Convertible Securities or Options (other than standard options to purchase Common Stock issued pursuant to an Approved Stock Plan that are covered by clause (i) above) issued prior to the Subscription Date, provided that the conversion price of any such Convertible Securities (other than standard options to purchase Common Stock issued pursuant to an Approved Stock Plan that are covered by clause (i) above) is not lowered, none of such Convertible Securities or Options (other than standard options to purchase Common Stock issued pursuant to an Approved Stock Plan that are covered by clause (i) above) are amended to increase the number of shares issuable thereunder and none of the terms or conditions of any such Convertible Securities or Options (other than standard options to purchase Common Stock issued pursuant to an Approved Stock Plan that are covered by clause (i) above) are otherwise materially changed in any manner that adversely affects any of the Investors; (iii) the shares of Common Stock issuable upon conversion of the Notes or otherwise pursuant to the terms of the Notes; provided, that the terms of the Notes are not amended, modified or changed on or after the Subscription Date (other than antidilution adjustments pursuant to the terms thereof in effect as of the Subscription Date); (iv) any shares of Common Stock issued or issuable in connection with any bona fide strategic or commercial alliances, acquisitions, mergers, licensing arrangements, and strategic partnerships, provided, that (x) the primary purpose of such issuance is not to raise capital as reasonably determined, and (y) the purchaser or acquirer or recipient of the securities in such issuance solely consists of either (I) the actual participants in such strategic or commercial alliance, strategic or commercial licensing arrangement or strategic or commercial partnership, (II) the actual owners of such assets or securities acquired in such acquisition or merger or (III) the shareholders, partners, employees, consultants, officers, directors or members of the foregoing Persons, in each case, which is, itself or through its subsidiaries, an operating company or an owner of an asset, in a business synergistic with the business of the Company and shall provide to the Company additional benefits in addition to the investment of funds, and (IV) the number or amount of securities issued to such Persons by the Company shall not be disproportionate to each such Person’s actual participation in (or fair market value of the contribution to) such strategic or commercial alliance or strategic or commercial partnership or ownership of such assets or securities to be acquired by the Company, as applicable; and (v) shares of Common Stock issued pursuant to a Permitted ELOC with the Lead Investor (or any of its affiliates) or a Permitted ATM with any Person.</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Fiscal Quarter</w:t>
      </w:r>
      <w:r>
        <w:rPr>
          <w:rFonts w:ascii="Times New Roman;Times;Serif" w:hAnsi="Times New Roman;Times;Serif"/>
          <w:b w:val="false"/>
          <w:i w:val="false"/>
          <w:caps w:val="false"/>
          <w:smallCaps w:val="false"/>
          <w:sz w:val="20"/>
        </w:rPr>
        <w:t>” means each of the fiscal quarters adopted by the Company for financial reporting purposes that correspond to the Company’s fiscal year as of the date hereof that ends on April 30.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 means the fiscal year adopted by the Company for financial reporting purposes as of the date hereof that ends on April 30.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Note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 consistently applied.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Governmental Entity</w:t>
      </w:r>
      <w:r>
        <w:rPr>
          <w:rFonts w:ascii="Times New Roman;Times;Serif" w:hAnsi="Times New Roman;Times;Serif"/>
          <w:b w:val="false"/>
          <w:i w:val="false"/>
          <w:caps w:val="false"/>
          <w:smallCaps w:val="false"/>
          <w:sz w:val="20"/>
        </w:rPr>
        <w:t>” means any nation, state, county, city, town, village, district, or other political jurisdiction of any nature, federal, state, local, municipal, foreign, or other government, governmental or quasi-governmental authority of any nature (including any governmental agency, branch, department, official, or entity and any court or other tribunal), multinational organization or body; or body exercising, or entitled to exercise, any administrative, executive, judicial, legislative, police, regulatory, or taxing authority or power of any nature or instrumentality of any of the foregoing, including any entity or enterprise owned or controlled by a government or a public international organization or any of the foregoing</w:t>
      </w:r>
      <w:r>
        <w:rPr>
          <w:rFonts w:ascii="Times New Roman;Times;Serif" w:hAnsi="Times New Roman;Times;Serif"/>
          <w:b/>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1934 Act and as defined in Rule 13d-5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Holder Pro Rata Amount</w:t>
      </w:r>
      <w:r>
        <w:rPr>
          <w:rFonts w:ascii="Times New Roman;Times;Serif" w:hAnsi="Times New Roman;Times;Serif"/>
          <w:b w:val="false"/>
          <w:i w:val="false"/>
          <w:caps w:val="false"/>
          <w:smallCaps w:val="false"/>
          <w:sz w:val="20"/>
        </w:rPr>
        <w:t>” means a fraction (i) the numerator of which is the original Principal amount of this Note on the Exchange Date and (ii) the denominator of which is the aggregate original principal amount of all Notes outstanding as of the Exchange Date (after giving effect to the closing of the Exchange Agreements).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without duplication (A) all indebtedness for borrowed money, (B) all obligations issued, undertaken or assumed as the deferred purchase price of property or services (including, without limitation, “capital leases” in accordance with generally accepted accounting principles in the United States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(other than trade payables entered into in the ordinary course of business consistent with past practice), (C) all reimbursement or payment obligations with respect to letters of credit, surety bonds and other similar instruments,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(F) all monetary obligations under any leasing or similar arrangement which, in connection with GAAP, consistently applied for the periods covered thereby, is classified as a capital lease, (G) all indebtedness referred to in clauses (A) through (F)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(H) all Contingent Obligations in respect of indebtedness or obligations of others of the kinds referred to in clauses (A) through (G).</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means the rights or licenses to use all trademarks, trade names, service marks, service mark registrations, service names, original works of authorship, patents, patent rights, copyrights, inventions, licenses, approvals, governmental authorizations, trade secrets and other intellectual property rights and all applications and registrations therefor.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Interest Date</w:t>
      </w:r>
      <w:r>
        <w:rPr>
          <w:rFonts w:ascii="Times New Roman;Times;Serif" w:hAnsi="Times New Roman;Times;Serif"/>
          <w:b w:val="false"/>
          <w:i w:val="false"/>
          <w:caps w:val="false"/>
          <w:smallCaps w:val="false"/>
          <w:sz w:val="20"/>
        </w:rPr>
        <w:t>” means, with respect to any given calendar month, the first Trading Day of such calendar month.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Interest Rate</w:t>
      </w:r>
      <w:r>
        <w:rPr>
          <w:rFonts w:ascii="Times New Roman;Times;Serif" w:hAnsi="Times New Roman;Times;Serif"/>
          <w:b w:val="false"/>
          <w:i w:val="false"/>
          <w:caps w:val="false"/>
          <w:smallCaps w:val="false"/>
          <w:sz w:val="20"/>
        </w:rPr>
        <w:t>” means four and a half percent (4.5%) per annum, subject to adjustment from time to time in accordance with Section 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rPr>
        <w:t>Investment</w:t>
      </w:r>
      <w:r>
        <w:rPr>
          <w:rFonts w:ascii="Times New Roman;Times;Serif" w:hAnsi="Times New Roman;Times;Serif"/>
          <w:b w:val="false"/>
          <w:i w:val="false"/>
          <w:caps w:val="false"/>
          <w:smallCaps w:val="false"/>
          <w:sz w:val="20"/>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Lead Investor</w:t>
      </w:r>
      <w:r>
        <w:rPr>
          <w:rFonts w:ascii="Times New Roman;Times;Serif" w:hAnsi="Times New Roman;Times;Serif"/>
          <w:b w:val="false"/>
          <w:i w:val="false"/>
          <w:caps w:val="false"/>
          <w:smallCaps w:val="false"/>
          <w:sz w:val="20"/>
        </w:rPr>
        <w:t>” shall have the meaning as set forth in the Securities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Make-Whole Amount</w:t>
      </w:r>
      <w:r>
        <w:rPr>
          <w:rFonts w:ascii="Times New Roman;Times;Serif" w:hAnsi="Times New Roman;Times;Serif"/>
          <w:b w:val="false"/>
          <w:i w:val="false"/>
          <w:caps w:val="false"/>
          <w:smallCaps w:val="false"/>
          <w:sz w:val="20"/>
        </w:rPr>
        <w:t>” means, as of any given date and as applicable, in connection with any conversion, redemption or other repayment hereunder, an amount equal to the amount of additional Interest that would accrue under this Note at the Interest Rate then in effect assuming for calculation purposes that the Outstanding Principal Value of this Note as of the Exchange Date remained outstanding through and including the Maturity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MAR Earnout</w:t>
      </w:r>
      <w:r>
        <w:rPr>
          <w:rFonts w:ascii="Times New Roman;Times;Serif" w:hAnsi="Times New Roman;Times;Serif"/>
          <w:b w:val="false"/>
          <w:i w:val="false"/>
          <w:caps w:val="false"/>
          <w:smallCaps w:val="false"/>
          <w:sz w:val="20"/>
        </w:rPr>
        <w:t>” means the “Earnout Payment” in the amount of $150,000 under and as defined in that certain Stock Purchase Agreement dated as of November 15, 2021, by and among the company and the equityholders of Marine Advanced Robotics, Inc. (the “</w:t>
      </w:r>
      <w:r>
        <w:rPr>
          <w:rFonts w:ascii="Times New Roman;Times;Serif" w:hAnsi="Times New Roman;Times;Serif"/>
          <w:b/>
          <w:i w:val="false"/>
          <w:caps w:val="false"/>
          <w:smallCaps w:val="false"/>
          <w:sz w:val="20"/>
        </w:rPr>
        <w:t>Sellers</w:t>
      </w:r>
      <w:r>
        <w:rPr>
          <w:rFonts w:ascii="Times New Roman;Times;Serif" w:hAnsi="Times New Roman;Times;Serif"/>
          <w:b w:val="false"/>
          <w:i w:val="false"/>
          <w:caps w:val="false"/>
          <w:smallCaps w:val="false"/>
          <w:sz w:val="20"/>
        </w:rPr>
        <w:t>”), which is payable by the Company to the Sellers.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means any material adverse effect on (i) the business, properties, assets, liabilities, operations (including results thereof), condition (financial or otherwise) or prospects of the Company or any Subsidiary, individually or taken as a whole, (ii) the transactions contemplated hereby or in any of the other Transaction Documents or any other agreements or instruments to be entered into in connection herewith or therewith or (iii) the authority or ability of the Company or any of its Subsidiaries to perform any of their respective obligations under any of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mean October 1, 2027; provided, however, (i) the Maturity Date may be extended at the option of the Holder through the date that is twenty (20) Business Days after the consummation of a Fundamental Transaction in the event that a Fundamental Transaction is publicly announced or a Change of Control Notice is delivered prior to the Maturity Date or (ii) the Maturity Date may be extended by mutual written consent of the Holder and the Company in the event that, and for so long as, an Event of Default shall have occurred and be continuing or any event shall have occurred and be continuing that with the passage of time and the failure to cure would result in an Event of Default,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New Subsidiary</w:t>
      </w:r>
      <w:r>
        <w:rPr>
          <w:rFonts w:ascii="Times New Roman;Times;Serif" w:hAnsi="Times New Roman;Times;Serif"/>
          <w:b w:val="false"/>
          <w:i w:val="false"/>
          <w:caps w:val="false"/>
          <w:smallCaps w:val="false"/>
          <w:sz w:val="20"/>
        </w:rPr>
        <w:t>” means, as of any date of determination, any Person in which the Company after the Subscription Date, directly or indirectly, (i) owns or acquires any of the outstanding capital stock or holds any equity or similar interest of such Person or (ii) controls or operates all or any part of the business, operations or administration of such Person, and all of the foregoing, collectively, “</w:t>
      </w:r>
      <w:r>
        <w:rPr>
          <w:rFonts w:ascii="Times New Roman;Times;Serif" w:hAnsi="Times New Roman;Times;Serif"/>
          <w:b/>
          <w:i w:val="false"/>
          <w:caps w:val="false"/>
          <w:smallCaps w:val="false"/>
          <w:sz w:val="20"/>
        </w:rPr>
        <w:t>New Subsidiaries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Outstanding Principal Value</w:t>
      </w:r>
      <w:r>
        <w:rPr>
          <w:rFonts w:ascii="Times New Roman;Times;Serif" w:hAnsi="Times New Roman;Times;Serif"/>
          <w:b w:val="false"/>
          <w:i w:val="false"/>
          <w:caps w:val="false"/>
          <w:smallCaps w:val="false"/>
          <w:sz w:val="20"/>
        </w:rPr>
        <w:t>” means as of any time of determination, 113% of all outstanding Principal of this Note as of such time of determination.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rPr>
        <w:t>Outstanding Value</w:t>
      </w:r>
      <w:r>
        <w:rPr>
          <w:rFonts w:ascii="Times New Roman;Times;Serif" w:hAnsi="Times New Roman;Times;Serif"/>
          <w:b w:val="false"/>
          <w:i w:val="false"/>
          <w:caps w:val="false"/>
          <w:smallCaps w:val="false"/>
          <w:sz w:val="20"/>
        </w:rPr>
        <w:t>” means, as of any time of determination, the sum of (i) the Outstanding Principal Value of this Note, (ii) accrued and unpaid Interest, (iii) Make-Whole Amount, (iv) accrued and unpaid Late Charges (as defined in Section 26(c)) on such Outstanding Principal Value, Make-Whole Amount and Interest, in each case, as of such time of determination and (iv) any other unpaid amounts pursuant to the Transaction Documents, if 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rPr>
        <w:t>Permitted ATM</w:t>
      </w:r>
      <w:r>
        <w:rPr>
          <w:rFonts w:ascii="Times New Roman;Times;Serif" w:hAnsi="Times New Roman;Times;Serif"/>
          <w:b w:val="false"/>
          <w:i w:val="false"/>
          <w:caps w:val="false"/>
          <w:smallCaps w:val="false"/>
          <w:sz w:val="20"/>
        </w:rPr>
        <w:t>” has the meaning given such term in the Securities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i w:val="false"/>
          <w:caps w:val="false"/>
          <w:smallCaps w:val="false"/>
          <w:sz w:val="20"/>
        </w:rPr>
        <w:t>Permitted ELOC</w:t>
      </w:r>
      <w:r>
        <w:rPr>
          <w:rFonts w:ascii="Times New Roman;Times;Serif" w:hAnsi="Times New Roman;Times;Serif"/>
          <w:b w:val="false"/>
          <w:i w:val="false"/>
          <w:caps w:val="false"/>
          <w:smallCaps w:val="false"/>
          <w:sz w:val="20"/>
        </w:rPr>
        <w:t>” has the meaning given such term in the Securities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xml:space="preserve">” means (i) Indebtedness evidenced by this Note and the Other Notes, (ii) Indebtedness set forth on </w:t>
      </w:r>
      <w:r>
        <w:rPr>
          <w:rFonts w:ascii="Times New Roman;Times;Serif" w:hAnsi="Times New Roman;Times;Serif"/>
          <w:b w:val="false"/>
          <w:i w:val="false"/>
          <w:caps w:val="false"/>
          <w:smallCaps w:val="false"/>
          <w:sz w:val="20"/>
          <w:u w:val="single"/>
        </w:rPr>
        <w:t>Schedule II</w:t>
      </w:r>
      <w:r>
        <w:rPr>
          <w:rFonts w:ascii="Times New Roman;Times;Serif" w:hAnsi="Times New Roman;Times;Serif"/>
          <w:b w:val="false"/>
          <w:i w:val="false"/>
          <w:caps w:val="false"/>
          <w:smallCaps w:val="false"/>
          <w:sz w:val="20"/>
        </w:rPr>
        <w:t xml:space="preserve"> hereto, (iii) Indebtedness secured by Permitted Liens or unsecured but as described in clauses (iv) and (v) of the definition of Permitted Lien, (iv) capital lease obligations incurred in the ordinary course of business, and any extensions, renewals and refinancings thereof, which, in the aggregate, do not exceed $1,000,000 outstanding at any time, (v) the MAR Earnout, (vi) obligations related to letters of credit, which, in the aggregate, do not exceed $300,000 outstanding at any time, (vii) Indebtedness in respect of performance and surety bonds and other obligations of a like nature provided by the Company in the ordinary course of business and required by applicable law in an aggregate amount not to exceed $500,000, (viii) deferred purchase price obligations in an aggregate amount not to exceed $20,000,000 in the form of earnouts and other similar contingent obligations and seller debt, in each case, incurred in connection with an acquisition of all or substantially all of a person’s assets or equity securities, provided that each obligation is subordinated to this Note pursuant to a subordination agreement reasonably acceptable to Holder and, with respect to any seller note obligation, the maturity date of such seller note is after the Maturity Date, (ix) Permitted Subordinated Indebtedness, and (x) other unsecured Indebtedness in an aggregate amount not to exceed $200,000 at any time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val="false"/>
          <w:caps w:val="false"/>
          <w:smallCaps w:val="false"/>
          <w:sz w:val="20"/>
        </w:rPr>
        <w:t>Permitted Investments</w:t>
      </w:r>
      <w:r>
        <w:rPr>
          <w:rFonts w:ascii="Times New Roman;Times;Serif" w:hAnsi="Times New Roman;Times;Serif"/>
          <w:b w:val="false"/>
          <w:i w:val="false"/>
          <w:caps w:val="false"/>
          <w:smallCaps w:val="false"/>
          <w:sz w:val="20"/>
        </w:rPr>
        <w:t>” means (i) 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 (ii) investments in commercial paper maturing within 270 days from the date of acquisition thereof and having, at such date of acquisition, the highest credit rating obtainable from S&amp;P or from Moody’s; (iii) 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 (iv) fully collateralized repurchase agreements with a term of not more than 30 days for securities described in clause (i) above and entered into with a financial institution satisfying the criteria described in clause (iii) above; and (v) money market funds that (x) comply with the criteria set forth in Securities and Exchange Commission Rule 2a-7 under the Investment Company Act of 1940, (y) are rated AAA by S&amp;P and Aaa by Moody’s and (z) have portfolio assets of at least $5,000,000,000.</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inventory or vehicle acquired or held by the Company or any of its Subsidiaries to secure the purchase price of such equipment, inventory or vehicle or Indebtedness incurred solely for the purpose of financing the acquisition or lease of such equipment, inventory or vehicle, as applicable, or (B) existing on such equipment, inventory or vehicle at the time of its acquisition, provided that the Lien is confined solely to the property so acquired and improvements thereon, and the proceeds of such equipment, inventory or vehicle, in either case, with respect to Indebtedness in an aggregate principal amount not to exceed $11,000,000,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Liens in favor of customs and revenue authorities arising as a matter of law to secure payments of custom duties in connection with the importation of goods, and (vii) Liens arising from judgments, decrees or attachments in circumstances not constituting an Event of Default under Section 4(a)(ix).</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i w:val="false"/>
          <w:caps w:val="false"/>
          <w:smallCaps w:val="false"/>
          <w:sz w:val="20"/>
        </w:rPr>
        <w:t>Permitted Payments</w:t>
      </w:r>
      <w:r>
        <w:rPr>
          <w:rFonts w:ascii="Times New Roman;Times;Serif" w:hAnsi="Times New Roman;Times;Serif"/>
          <w:b w:val="false"/>
          <w:i w:val="false"/>
          <w:caps w:val="false"/>
          <w:smallCaps w:val="false"/>
          <w:sz w:val="20"/>
        </w:rPr>
        <w:t xml:space="preserve">” means Indebtedness set forth on </w:t>
      </w:r>
      <w:r>
        <w:rPr>
          <w:rFonts w:ascii="Times New Roman;Times;Serif" w:hAnsi="Times New Roman;Times;Serif"/>
          <w:b w:val="false"/>
          <w:i w:val="false"/>
          <w:caps w:val="false"/>
          <w:smallCaps w:val="false"/>
          <w:sz w:val="20"/>
          <w:u w:val="single"/>
        </w:rPr>
        <w:t>Schedule 3(s)</w:t>
      </w:r>
      <w:r>
        <w:rPr>
          <w:rFonts w:ascii="Times New Roman;Times;Serif" w:hAnsi="Times New Roman;Times;Serif"/>
          <w:b w:val="false"/>
          <w:i w:val="false"/>
          <w:caps w:val="false"/>
          <w:smallCaps w:val="false"/>
          <w:sz w:val="20"/>
        </w:rPr>
        <w:t xml:space="preserve"> to the Securities Purchase Agreement, as in effect as of the Subscription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i w:val="false"/>
          <w:caps w:val="false"/>
          <w:smallCaps w:val="false"/>
          <w:sz w:val="20"/>
        </w:rPr>
        <w:t>Permitted Subordinated Indebtedness</w:t>
      </w:r>
      <w:r>
        <w:rPr>
          <w:rFonts w:ascii="Times New Roman;Times;Serif" w:hAnsi="Times New Roman;Times;Serif"/>
          <w:b w:val="false"/>
          <w:i w:val="false"/>
          <w:caps w:val="false"/>
          <w:smallCaps w:val="false"/>
          <w:sz w:val="20"/>
        </w:rPr>
        <w:t>” means unsecured Indebtedness (other than Convertible Securities) incurred by the Company or any Subsidiary that is made expressly subordinate in right of payment to the Indebtedness evidenced by this Note, as reflected in a written agreement reasonably acceptable to the Holder, which does not include any equity or equity-linked features or the issuance or transfer of any securities (including, with limitation, any Options or the right to convert, exchange or otherwise satisfy the payment of such Indebtedness with any equity security of the Company or any of its Subsidiaries) and which Indebtedness does not provide at any time for (1) the payment, prepayment, repayment, repurchase or defeasance, directly or indirectly, of any principal or premium, if any, thereon until at least ninety-one (91) days after the Maturity Date and (2) total interest and fees at a rate in excess of 12% per annum.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NYSE American.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means any Event of Default Redemption Date, Amortization Date with respect to any Amortization, Subsequent Placement Optional Redemption Date and/or Change of Control Redemption Date, as applicable.</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w:t>
      </w:r>
      <w:r>
        <w:rPr>
          <w:rFonts w:ascii="Times New Roman;Times;Serif" w:hAnsi="Times New Roman;Times;Serif"/>
          <w:b/>
          <w:i w:val="false"/>
          <w:caps w:val="false"/>
          <w:smallCaps w:val="false"/>
          <w:sz w:val="20"/>
        </w:rPr>
        <w:t>Redemption Notices</w:t>
      </w:r>
      <w:r>
        <w:rPr>
          <w:rFonts w:ascii="Times New Roman;Times;Serif" w:hAnsi="Times New Roman;Times;Serif"/>
          <w:b w:val="false"/>
          <w:i w:val="false"/>
          <w:caps w:val="false"/>
          <w:smallCaps w:val="false"/>
          <w:sz w:val="20"/>
        </w:rPr>
        <w:t>” means, collectively, the Event of Default Redemption Notices, the Amortization Notices with respect to any Amortization, the Subsequent Placement Optional Redemption Notices and the Change of Control Redemption Notices, and each of the foregoing, individually,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w:t>
      </w:r>
      <w:r>
        <w:rPr>
          <w:rFonts w:ascii="Times New Roman;Times;Serif" w:hAnsi="Times New Roman;Times;Serif"/>
          <w:b/>
          <w:i w:val="false"/>
          <w:caps w:val="false"/>
          <w:smallCaps w:val="false"/>
          <w:sz w:val="20"/>
        </w:rPr>
        <w:t>Redemption Premium</w:t>
      </w:r>
      <w:r>
        <w:rPr>
          <w:rFonts w:ascii="Times New Roman;Times;Serif" w:hAnsi="Times New Roman;Times;Serif"/>
          <w:b w:val="false"/>
          <w:i w:val="false"/>
          <w:caps w:val="false"/>
          <w:smallCaps w:val="false"/>
          <w:sz w:val="20"/>
        </w:rPr>
        <w:t>” means 115%.</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 “</w:t>
      </w:r>
      <w:r>
        <w:rPr>
          <w:rFonts w:ascii="Times New Roman;Times;Serif" w:hAnsi="Times New Roman;Times;Serif"/>
          <w:b/>
          <w:i w:val="false"/>
          <w:caps w:val="false"/>
          <w:smallCaps w:val="false"/>
          <w:sz w:val="20"/>
        </w:rPr>
        <w:t>Redemption Prices</w:t>
      </w:r>
      <w:r>
        <w:rPr>
          <w:rFonts w:ascii="Times New Roman;Times;Serif" w:hAnsi="Times New Roman;Times;Serif"/>
          <w:b w:val="false"/>
          <w:i w:val="false"/>
          <w:caps w:val="false"/>
          <w:smallCaps w:val="false"/>
          <w:sz w:val="20"/>
        </w:rPr>
        <w:t>” means, collectively, Event of Default Redemption Prices, the Change of Control Redemption Prices, the Amortization Redemption Prices, and the Subsequent Placement Optional Redemption Prices, and each of the foregoing, individually, a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w:t>
      </w:r>
      <w:r>
        <w:rPr>
          <w:rFonts w:ascii="Times New Roman;Times;Serif" w:hAnsi="Times New Roman;Times;Serif"/>
          <w:b/>
          <w:i w:val="false"/>
          <w:caps w:val="false"/>
          <w:smallCaps w:val="false"/>
          <w:sz w:val="20"/>
        </w:rPr>
        <w:t>Redemption Value</w:t>
      </w:r>
      <w:r>
        <w:rPr>
          <w:rFonts w:ascii="Times New Roman;Times;Serif" w:hAnsi="Times New Roman;Times;Serif"/>
          <w:b w:val="false"/>
          <w:i w:val="false"/>
          <w:caps w:val="false"/>
          <w:smallCaps w:val="false"/>
          <w:sz w:val="20"/>
        </w:rPr>
        <w:t>” means 113%.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means holders of a majority in aggregate principal amount of the Notes and Other Notes then outstanding.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the successor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means that certain securities purchase agreement, dated as of the Subscription Date, by and among the Company and the initial holders of the notes pursuant to which the Company issued the Series C-1 senior convertible notes, as may be amended from time to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(lll)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has the meaning set forth in Section 6.4 of the Exchange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(mmm)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(nnn)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means April 1, 2026.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(ooo) “</w:t>
      </w:r>
      <w:r>
        <w:rPr>
          <w:rFonts w:ascii="Times New Roman;Times;Serif" w:hAnsi="Times New Roman;Times;Serif"/>
          <w:b/>
          <w:i w:val="false"/>
          <w:caps w:val="false"/>
          <w:smallCaps w:val="false"/>
          <w:sz w:val="20"/>
        </w:rPr>
        <w:t>Subsequent Placement</w:t>
      </w:r>
      <w:r>
        <w:rPr>
          <w:rFonts w:ascii="Times New Roman;Times;Serif" w:hAnsi="Times New Roman;Times;Serif"/>
          <w:b w:val="false"/>
          <w:i w:val="false"/>
          <w:caps w:val="false"/>
          <w:smallCaps w:val="false"/>
          <w:sz w:val="20"/>
        </w:rPr>
        <w:t>” means any direct or indirect issuance, offer, sale, grant of any option or right to purchase, or otherwise dispose of (or announce any issuance, offer, sale, grant of any option or right to purchase or other disposition of) by the Company and/or any of its Subsidiaries of any equity security and/or any equity-linked and/or related security (including, without limitation, any “equity security” (as that term is defined under Rule 405 promulgated under the 1933 Act), any Convertible Securities, any Options, any debt, any preferred stock and/or any purchase rights).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(ppp)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means, as of any date of determination, collectively, all Current Subsidiaries and all New Subsidiaries, and each of the foregoing, individually, 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(qqq)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(rrr)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(sss)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has the meaning set forth in the Exchange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(ttt)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dividend, stock split, stock combination, recapitalization or other similar transaction during such period.</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34 shall limit any obligations of the Company, or any rights of the Holder, under Section 17 of the Exchange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ABSENCE OF TRADING AND DISCLOSURE RESTRICTIONS</w:t>
      </w:r>
      <w:r>
        <w:rPr>
          <w:rFonts w:ascii="Times New Roman;Times;Serif" w:hAnsi="Times New Roman;Times;Serif"/>
          <w:b w:val="false"/>
          <w:i w:val="false"/>
          <w:caps w:val="false"/>
          <w:smallCaps w:val="false"/>
          <w:sz w:val="20"/>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 as of the Issuance Date set out above.</w:t>
      </w:r>
    </w:p>
    <w:p>
      <w:pPr>
        <w:pStyle w:val="TextBody"/>
        <w:bidi w:val="0"/>
        <w:spacing w:before="0" w:after="0"/>
        <w:ind w:left="0" w:right="0" w:firstLine="720"/>
        <w:jc w:val="both"/>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3231"/>
        <w:gridCol w:w="388"/>
        <w:gridCol w:w="75"/>
      </w:tblGrid>
      <w:tr>
        <w:trPr/>
        <w:tc>
          <w:tcPr>
            <w:tcW w:w="3619" w:type="dxa"/>
            <w:gridSpan w:val="2"/>
            <w:tcBorders/>
            <w:vAlign w:val="center"/>
          </w:tcPr>
          <w:p>
            <w:pPr>
              <w:pStyle w:val="TableContents"/>
              <w:bidi w:val="0"/>
              <w:spacing w:before="0" w:after="0"/>
              <w:ind w:left="0" w:right="0" w:hanging="0"/>
              <w:jc w:val="left"/>
              <w:rPr>
                <w:rFonts w:ascii="Times New Roman;Times;Serif" w:hAnsi="Times New Roman;Times;Serif"/>
                <w:b/>
                <w:i w:val="false"/>
                <w:smallCaps/>
                <w:sz w:val="20"/>
              </w:rPr>
            </w:pPr>
            <w:r>
              <w:rPr>
                <w:rFonts w:ascii="Times New Roman;Times;Serif" w:hAnsi="Times New Roman;Times;Serif"/>
                <w:b/>
                <w:i w:val="false"/>
                <w:smallCaps/>
                <w:sz w:val="20"/>
              </w:rPr>
              <w:t>OCEAN POWER TECHNOLOGIES, INC.</w:t>
            </w:r>
          </w:p>
        </w:tc>
        <w:tc>
          <w:tcPr>
            <w:tcW w:w="75" w:type="dxa"/>
            <w:tcBorders/>
            <w:vAlign w:val="center"/>
          </w:tcPr>
          <w:p>
            <w:pPr>
              <w:pStyle w:val="TableContents"/>
              <w:bidi w:val="0"/>
              <w:spacing w:before="0" w:after="283"/>
              <w:jc w:val="left"/>
              <w:rPr/>
            </w:pPr>
            <w:r>
              <w:rPr/>
              <w:t> </w:t>
            </w:r>
          </w:p>
        </w:tc>
      </w:tr>
      <w:tr>
        <w:trPr/>
        <w:tc>
          <w:tcPr>
            <w:tcW w:w="361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2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Convertible Note - Signature Page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br/>
        <w:t>CONVERSION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Series D Senior Convertible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issued to the undersigned by Ocean Power Technologies,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accordance with and pursuant to the Note, the undersigned hereby elects to convert the Conversion Amount (as defined in the Note) of the Note indicated below into shares of Common Stock, $0.001 par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as of the date specified below. Capitalized terms not defined herein shall have the meaning as set forth in the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this Conversion Notice shall constitute a representation by the Holder of the Note submitting this Conversion Notice that, after giving effect to the conversion provided in this Conversion Notice, such Holder (together with the other Attribution Parties) will not have beneficial ownership of a number of shares of Common Stock in excess of the Maximum Percentage of the total outstanding shares of Common Stock of the Company as determined pursuant to the provisions of Section 3(d)(i) of the Note.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0"/>
        <w:gridCol w:w="9995"/>
        <w:gridCol w:w="75"/>
      </w:tblGrid>
      <w:tr>
        <w:trPr/>
        <w:tc>
          <w:tcPr>
            <w:tcW w:w="75" w:type="dxa"/>
            <w:tcBorders/>
            <w:vAlign w:val="center"/>
          </w:tcPr>
          <w:p>
            <w:pPr>
              <w:pStyle w:val="TableContents"/>
              <w:bidi w:val="0"/>
              <w:spacing w:before="0" w:after="283"/>
              <w:jc w:val="left"/>
              <w:rPr/>
            </w:pPr>
            <w:r>
              <w:rPr/>
              <w:t> </w:t>
            </w:r>
          </w:p>
        </w:tc>
        <w:tc>
          <w:tcPr>
            <w:tcW w:w="100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of Conversion:</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Aggregate Principal to be converted: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Aggregate accrued and unpaid Interest, Make-Whole Amount and accrued and unpaid Late Charges with respect to such portion of the Aggregate Principal, such Make Whole Amount and such Aggregate Interest to be converted: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AGGREGATE CONVERSION AMOUNT TO BE CONVERTED: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confirm the following information:</w:t>
            </w:r>
          </w:p>
        </w:tc>
        <w:tc>
          <w:tcPr>
            <w:tcW w:w="75" w:type="dxa"/>
            <w:tcBorders/>
            <w:vAlign w:val="center"/>
          </w:tcPr>
          <w:p>
            <w:pPr>
              <w:pStyle w:val="TableContents"/>
              <w:bidi w:val="0"/>
              <w:spacing w:before="0" w:after="283"/>
              <w:jc w:val="left"/>
              <w:rPr/>
            </w:pPr>
            <w:r>
              <w:rPr/>
              <w:t> </w:t>
            </w:r>
          </w:p>
        </w:tc>
      </w:tr>
      <w:tr>
        <w:trPr/>
        <w:tc>
          <w:tcPr>
            <w:tcW w:w="1013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Price: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0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 of Common Stock to be issued:</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Common Stock into which the Note is being converted to Holder, or for its benefit, as follows:</w:t>
      </w:r>
    </w:p>
    <w:p>
      <w:pPr>
        <w:pStyle w:val="TextBody"/>
        <w:bidi w:val="0"/>
        <w:spacing w:before="0" w:after="283"/>
        <w:jc w:val="left"/>
        <w:rPr/>
      </w:pPr>
      <w:r>
        <w:rPr/>
        <w:t> </w:t>
      </w:r>
    </w:p>
    <w:tbl>
      <w:tblPr>
        <w:tblW w:w="9789" w:type="dxa"/>
        <w:jc w:val="left"/>
        <w:tblInd w:w="0" w:type="dxa"/>
        <w:tblLayout w:type="fixed"/>
        <w:tblCellMar>
          <w:top w:w="0" w:type="dxa"/>
          <w:left w:w="0" w:type="dxa"/>
          <w:bottom w:w="0" w:type="dxa"/>
          <w:right w:w="0" w:type="dxa"/>
        </w:tblCellMar>
      </w:tblPr>
      <w:tblGrid>
        <w:gridCol w:w="75"/>
        <w:gridCol w:w="230"/>
        <w:gridCol w:w="4207"/>
        <w:gridCol w:w="5277"/>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484"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Check here if requesting delivery as a certificate to the following name and to the following address:</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4207" w:type="dxa"/>
            <w:tcBorders/>
            <w:vAlign w:val="center"/>
          </w:tcPr>
          <w:p>
            <w:pPr>
              <w:pStyle w:val="TableContents"/>
              <w:bidi w:val="0"/>
              <w:spacing w:before="0" w:after="283"/>
              <w:jc w:val="left"/>
              <w:rPr/>
            </w:pPr>
            <w:r>
              <w:rPr/>
              <w:t> </w:t>
            </w:r>
          </w:p>
        </w:tc>
        <w:tc>
          <w:tcPr>
            <w:tcW w:w="52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37"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to:</w:t>
            </w:r>
          </w:p>
        </w:tc>
        <w:tc>
          <w:tcPr>
            <w:tcW w:w="52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37" w:type="dxa"/>
            <w:gridSpan w:val="2"/>
            <w:tcBorders/>
            <w:vAlign w:val="center"/>
          </w:tcPr>
          <w:p>
            <w:pPr>
              <w:pStyle w:val="TableContents"/>
              <w:bidi w:val="0"/>
              <w:spacing w:before="0" w:after="283"/>
              <w:jc w:val="left"/>
              <w:rPr/>
            </w:pPr>
            <w:r>
              <w:rPr/>
              <w:t> </w:t>
            </w:r>
          </w:p>
        </w:tc>
        <w:tc>
          <w:tcPr>
            <w:tcW w:w="52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37" w:type="dxa"/>
            <w:gridSpan w:val="2"/>
            <w:tcBorders/>
            <w:vAlign w:val="center"/>
          </w:tcPr>
          <w:p>
            <w:pPr>
              <w:pStyle w:val="TableContents"/>
              <w:bidi w:val="0"/>
              <w:spacing w:before="0" w:after="283"/>
              <w:jc w:val="left"/>
              <w:rPr/>
            </w:pPr>
            <w:r>
              <w:rPr/>
              <w:t> </w:t>
            </w:r>
          </w:p>
        </w:tc>
        <w:tc>
          <w:tcPr>
            <w:tcW w:w="527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484"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Check here if requesting delivery by Deposit/Withdrawal at Custodian as follows:</w:t>
            </w:r>
          </w:p>
        </w:tc>
      </w:tr>
    </w:tbl>
    <w:p>
      <w:pPr>
        <w:pStyle w:val="TextBody"/>
        <w:bidi w:val="0"/>
        <w:spacing w:before="0" w:after="283"/>
        <w:jc w:val="left"/>
        <w:rPr/>
      </w:pPr>
      <w:r>
        <w:rPr/>
        <w:t> </w:t>
      </w:r>
    </w:p>
    <w:tbl>
      <w:tblPr>
        <w:tblW w:w="1670" w:type="dxa"/>
        <w:jc w:val="left"/>
        <w:tblInd w:w="0" w:type="dxa"/>
        <w:tblLayout w:type="fixed"/>
        <w:tblCellMar>
          <w:top w:w="0" w:type="dxa"/>
          <w:left w:w="0" w:type="dxa"/>
          <w:bottom w:w="0" w:type="dxa"/>
          <w:right w:w="0" w:type="dxa"/>
        </w:tblCellMar>
      </w:tblPr>
      <w:tblGrid>
        <w:gridCol w:w="75"/>
        <w:gridCol w:w="1460"/>
        <w:gridCol w:w="60"/>
        <w:gridCol w:w="75"/>
      </w:tblGrid>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Number: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85"/>
        <w:gridCol w:w="3050"/>
        <w:gridCol w:w="75"/>
      </w:tblGrid>
      <w:tr>
        <w:trPr/>
        <w:tc>
          <w:tcPr>
            <w:tcW w:w="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30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_____________ __, _________</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35"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3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of Registered Holder</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0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br/>
              <w:t>Title:</w:t>
            </w:r>
          </w:p>
        </w:tc>
        <w:tc>
          <w:tcPr>
            <w:tcW w:w="30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ID:</w:t>
            </w:r>
          </w:p>
        </w:tc>
        <w:tc>
          <w:tcPr>
            <w:tcW w:w="305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3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Address: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 acknowledges this Conversion Notice, (b) certifies that the above indicated number of shares of Common Stock are eligible to be resold by the Holder without restriction and hereby directs _________________ to issue the above indicated number of shares of Common Stock in accordance with the Transfer Agent Instructions dated _____________, 20__ from the Company and acknowledged and agreed to by ________________________.</w:t>
      </w:r>
    </w:p>
    <w:p>
      <w:pPr>
        <w:pStyle w:val="TextBody"/>
        <w:bidi w:val="0"/>
        <w:spacing w:before="0" w:after="0"/>
        <w:ind w:left="0" w:right="0" w:firstLine="720"/>
        <w:jc w:val="both"/>
        <w:rPr>
          <w:caps w:val="false"/>
          <w:smallCaps w:val="false"/>
        </w:rPr>
      </w:pPr>
      <w:r>
        <w:rPr>
          <w:caps w:val="false"/>
          <w:smallCaps w:val="false"/>
        </w:rPr>
        <w:t> </w:t>
      </w:r>
    </w:p>
    <w:tbl>
      <w:tblPr>
        <w:tblW w:w="2809" w:type="dxa"/>
        <w:jc w:val="left"/>
        <w:tblInd w:w="0" w:type="dxa"/>
        <w:tblLayout w:type="fixed"/>
        <w:tblCellMar>
          <w:top w:w="0" w:type="dxa"/>
          <w:left w:w="0" w:type="dxa"/>
          <w:bottom w:w="0" w:type="dxa"/>
          <w:right w:w="0" w:type="dxa"/>
        </w:tblCellMar>
      </w:tblPr>
      <w:tblGrid>
        <w:gridCol w:w="1049"/>
        <w:gridCol w:w="1685"/>
        <w:gridCol w:w="75"/>
      </w:tblGrid>
      <w:tr>
        <w:trPr/>
        <w:tc>
          <w:tcPr>
            <w:tcW w:w="273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c>
          <w:tcPr>
            <w:tcW w:w="75" w:type="dxa"/>
            <w:tcBorders/>
            <w:vAlign w:val="center"/>
          </w:tcPr>
          <w:p>
            <w:pPr>
              <w:pStyle w:val="TableContents"/>
              <w:bidi w:val="0"/>
              <w:spacing w:before="0" w:after="283"/>
              <w:jc w:val="left"/>
              <w:rPr/>
            </w:pPr>
            <w:r>
              <w:rPr/>
              <w:t> </w:t>
            </w:r>
          </w:p>
        </w:tc>
      </w:tr>
      <w:tr>
        <w:trPr/>
        <w:tc>
          <w:tcPr>
            <w:tcW w:w="273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68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6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6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0" w:name="ex10-3.htm"/>
      <w:bookmarkStart w:id="31" w:name="ksex103"/>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AGREEMENT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September 25,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between Ocean Power Technologies, Inc., a Delaware corporation (the “Company”), and the undersigned holder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Holder beneficially owns and holds common warrants issued on June 8, 2026 (the “</w:t>
      </w:r>
      <w:r>
        <w:rPr>
          <w:rFonts w:ascii="Times New Roman;Times;Serif" w:hAnsi="Times New Roman;Times;Serif"/>
          <w:b w:val="false"/>
          <w:i w:val="false"/>
          <w:caps w:val="false"/>
          <w:smallCaps w:val="false"/>
          <w:sz w:val="20"/>
          <w:u w:val="single"/>
        </w:rPr>
        <w:t>Common Warrants</w:t>
      </w:r>
      <w:r>
        <w:rPr>
          <w:rFonts w:ascii="Times New Roman;Times;Serif" w:hAnsi="Times New Roman;Times;Serif"/>
          <w:b w:val="false"/>
          <w:i w:val="false"/>
          <w:caps w:val="false"/>
          <w:smallCaps w:val="false"/>
          <w:sz w:val="20"/>
        </w:rPr>
        <w:t>”) exercisable for [●] shares of the Company’s common stock, par value $0.001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Holder desire to amend the Common Warrants to among other things adjust the Exercise Price (as defined in the Common Warrants)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terms and conditions contained herein, and other good and valuable consideration, the receipt and sufficiency of which is hereby acknowledged, the Company and the Holder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Subject to and upon the terms and conditions set forth in this Agreement, Section 2(b) of each Common Warrant is hereby amended in its entirety to read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exercise price per share of Common Stock under this Warrant shall be $2.45,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On March 25, 2027 (the “</w:t>
      </w:r>
      <w:r>
        <w:rPr>
          <w:rFonts w:ascii="Times New Roman;Times;Serif" w:hAnsi="Times New Roman;Times;Serif"/>
          <w:b w:val="false"/>
          <w:i w:val="false"/>
          <w:caps w:val="false"/>
          <w:smallCaps w:val="false"/>
          <w:sz w:val="20"/>
          <w:u w:val="single"/>
        </w:rPr>
        <w:t>Reset Date</w:t>
      </w:r>
      <w:r>
        <w:rPr>
          <w:rFonts w:ascii="Times New Roman;Times;Serif" w:hAnsi="Times New Roman;Times;Serif"/>
          <w:b w:val="false"/>
          <w:i w:val="false"/>
          <w:caps w:val="false"/>
          <w:smallCaps w:val="false"/>
          <w:sz w:val="20"/>
        </w:rPr>
        <w:t>”), to the extent the Exercise Price for the Warrant is in excess of 115% of the lowest daily VWAP of the Common Stock during the seven (7) consecutive Trading Day period ending on the Trading Day immediately prior to the Reset Date (the “</w:t>
      </w:r>
      <w:r>
        <w:rPr>
          <w:rFonts w:ascii="Times New Roman;Times;Serif" w:hAnsi="Times New Roman;Times;Serif"/>
          <w:b w:val="false"/>
          <w:i w:val="false"/>
          <w:caps w:val="false"/>
          <w:smallCaps w:val="false"/>
          <w:sz w:val="20"/>
          <w:u w:val="single"/>
        </w:rPr>
        <w:t>Reset VWAP</w:t>
      </w:r>
      <w:r>
        <w:rPr>
          <w:rFonts w:ascii="Times New Roman;Times;Serif" w:hAnsi="Times New Roman;Times;Serif"/>
          <w:b w:val="false"/>
          <w:i w:val="false"/>
          <w:caps w:val="false"/>
          <w:smallCaps w:val="false"/>
          <w:sz w:val="20"/>
        </w:rPr>
        <w:t>”), the Exercise Price shall automatically be adjusted to such Reset VWAP on such Reset Date (taking into account all adjustments applicable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Holder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of the Company as set forth in the SEC Reports (as defined below)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is in violation or default of any of the provisions of its respective certificate or certificates of incorporation, bylaws or other organizational or charter documents. The Company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on (i) the results of operations, assets, business, prospects or condition (financial or otherwise) of the Company, taken as a whole, (ii) the legality, validity or enforceability of this Agreement, or (iii) the Company’s ability to perform in any material respect on a timely basis its obligations under this Agreement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otherwise to carry out its obligations hereunder and thereunder. The execution and delivery of this Agreement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This Agreement has been (or upon delivery will have been) duly executed by the Company and, when delivered in accordance with the terms hereof and thereof, will constitute the valid and binding obligation of the Company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consummation by it of the transactions contemplated hereby and thereby do not and will not (i) conflict with or violate any provision of the Company’s certificate of incorporation, bylaws or other organizational or charter documents, (ii) conflict with, or constitute a default (or an event that with notice or lapse of time or both would become a default) under, result in the creation of any liens, charges, pledges, security interests, encumbrances, rights of first refusal, preemptive rights or other restrictions (collectively, “</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upon any of the properties or assets of the Company or any Subsidiary pursuant to,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Acknowledgment Regarding the Amendment</w:t>
      </w:r>
      <w:r>
        <w:rPr>
          <w:rFonts w:ascii="Times New Roman;Times;Serif" w:hAnsi="Times New Roman;Times;Serif"/>
          <w:b w:val="false"/>
          <w:i w:val="false"/>
          <w:caps w:val="false"/>
          <w:smallCaps w:val="false"/>
          <w:sz w:val="20"/>
        </w:rPr>
        <w:t>. The Company acknowledges and agrees that the Holder is acting solely in the capacity of an arm’s length third party with respect to this Agreement and the transactions contemplated hereby. The Company further acknowledges the Holder is not acting as a financial advisor or fiduciary of the Company (or in any similar capacity) with respect to this Agreement and the transactions contemplated hereby, and any advice given by the Holder or any of its representatives or agents in connection with this Agreement is merely incidental to the Amendment.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No Commission; No Other Consideration</w:t>
      </w:r>
      <w:r>
        <w:rPr>
          <w:rFonts w:ascii="Times New Roman;Times;Serif" w:hAnsi="Times New Roman;Times;Serif"/>
          <w:b w:val="false"/>
          <w:i w:val="false"/>
          <w:caps w:val="false"/>
          <w:smallCaps w:val="false"/>
          <w:sz w:val="20"/>
        </w:rPr>
        <w:t>. The Company has not paid or given, and has not agreed to pay or give, directly or indirectly, any commission or other remuneration for the Amendment.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No Third-Party Advisors</w:t>
      </w:r>
      <w:r>
        <w:rPr>
          <w:rFonts w:ascii="Times New Roman;Times;Serif" w:hAnsi="Times New Roman;Times;Serif"/>
          <w:b w:val="false"/>
          <w:i w:val="false"/>
          <w:caps w:val="false"/>
          <w:smallCaps w:val="false"/>
          <w:sz w:val="20"/>
        </w:rPr>
        <w:t>. Other than legal counsel, the Company has not engaged any third parties to assist in the solicitation or transaction with respect to the Amendment.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including pursuant to Section 13(a) or 15(d) of the Exchange Act,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United States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this Agreement. As used in this Agreement,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is as set forth in the SEC Reports. No Person has any right of first refusal, preemptive right, right of participation, or any similar right to participate in the transactions contemplated by this Agreement.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Convertible Securities of the Company.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There are no stockholders’ agreements or other similar agreements with respect to the Company’s capital stock to which the Company is a party or, to the knowledge of the Company, between or among any of the Company’s stockholders. As used herein, “</w:t>
      </w:r>
      <w:r>
        <w:rPr>
          <w:rFonts w:ascii="Times New Roman;Times;Serif" w:hAnsi="Times New Roman;Times;Serif"/>
          <w:b w:val="false"/>
          <w:i w:val="false"/>
          <w:caps w:val="false"/>
          <w:smallCaps w:val="false"/>
          <w:sz w:val="20"/>
          <w:u w:val="single"/>
        </w:rPr>
        <w:t>Convertible Security</w:t>
      </w:r>
      <w:r>
        <w:rPr>
          <w:rFonts w:ascii="Times New Roman;Times;Serif" w:hAnsi="Times New Roman;Times;Serif"/>
          <w:b w:val="false"/>
          <w:i w:val="false"/>
          <w:caps w:val="false"/>
          <w:smallCaps w:val="false"/>
          <w:sz w:val="20"/>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Shell Company Status</w:t>
      </w:r>
      <w:r>
        <w:rPr>
          <w:rFonts w:ascii="Times New Roman;Times;Serif" w:hAnsi="Times New Roman;Times;Serif"/>
          <w:b w:val="false"/>
          <w:i w:val="false"/>
          <w:caps w:val="false"/>
          <w:smallCaps w:val="false"/>
          <w:sz w:val="20"/>
        </w:rPr>
        <w:t>. The Company is not currently, and within the past three years has not been, an issuer identified in Rule 144(i)(1)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DTC Eligibility.</w:t>
      </w:r>
      <w:r>
        <w:rPr>
          <w:rFonts w:ascii="Times New Roman;Times;Serif" w:hAnsi="Times New Roman;Times;Serif"/>
          <w:b w:val="false"/>
          <w:i w:val="false"/>
          <w:caps w:val="false"/>
          <w:smallCaps w:val="false"/>
          <w:sz w:val="20"/>
        </w:rPr>
        <w:t xml:space="preserve"> The Company, through its transfer agent, currently participates in the DTC Fast Automated Securities Transfer (FAST) Program and shares of Common Stock can be transferred electronically to third parties via the DTC Fast Automated Securities Transfer (FAST) Program.</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Since the date of the latest audited financial statements included within the SEC Reports, except as specifically disclosed in a subsequent SEC Report filed prior to the date hereof: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Amendment and the exchange transactions currently contemplated by the Company,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 which for purposes of this Agreement, Trading Day shall refer to any day on which the NYSE American (the “</w:t>
      </w:r>
      <w:r>
        <w:rPr>
          <w:rFonts w:ascii="Times New Roman;Times;Serif" w:hAnsi="Times New Roman;Times;Serif"/>
          <w:b w:val="false"/>
          <w:i w:val="false"/>
          <w:caps w:val="false"/>
          <w:smallCaps w:val="false"/>
          <w:sz w:val="20"/>
          <w:u w:val="single"/>
        </w:rPr>
        <w:t>Principal Market</w:t>
      </w:r>
      <w:r>
        <w:rPr>
          <w:rFonts w:ascii="Times New Roman;Times;Serif" w:hAnsi="Times New Roman;Times;Serif"/>
          <w:b w:val="false"/>
          <w:i w:val="false"/>
          <w:caps w:val="false"/>
          <w:smallCaps w:val="false"/>
          <w:sz w:val="20"/>
        </w:rPr>
        <w:t>”) is open for trading business. As used in this Agreement,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Other than as set forth in the SEC Reports, there is no action, suit, inquiry, notice of violation, proceeding or investigation pending or, to the knowledge of the Company, threatened against or affecting the Company or any of its properties before or by any court, arbitrator, governmental or administrative agency or regulatory authority (federal, state, county, local or foreign) which (i) adversely affects or challenges the legality, validity or enforceability of any of this Agreement or (ii) could, if there were an unfavorable decision,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2.17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Except as set forth in the SEC Reports and except for existing defaults under the Company’s Series C-1 Senior Convertible Notes issued on April 1, 2026, neither the Company nor any Subsidiary: (i) is in material default under or in material violation of (and no event has occurred that has not been waived that, with notice or lapse of time or both, would result in a material default by the Company or any Subsidiary under), nor has the Company or any Subsidiary received notice of a claim that it is in material default under or that it is in material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to its knowledge, is or has been in violation of any statute, rule, ordinance or regulation of any governmental authority, including without limitation all foreign, federal, state and local laws relating to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2.18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(“Material Permits”), and neither the Company nor any Subsidiary has received any notice of proceedings relating to the revocation or modification of any Material Permit.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2.19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No brokerage or finder’s fees or commissions are or will be payable by the Company or any Subsidiaries to any broker, financial advisor or consultant, finder, placement agent, investment banker, bank or other Person with respect to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xml:space="preserve">. Except with respect to the material terms and conditions of the transactions contemplated by this Agreement, the Company confirms that neither it nor any other Person acting on its behalf has provided the Holder or its agents or counsel with any information that it believes constitutes or might constitute material, non-public information which will not otherwise be disclosed pursuant to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The Company understands and confirms that the Holder will rely on the foregoing representation in effecting transactions in securities of the Company. All of the disclosure furnished by or on behalf of the Company to the Holder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the Holder does not make and has not made any representations or warranties with respect to the transactions contemplated hereby other than those specifically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Since April 24, 2019, the Company nor any of its Subsidiaries have knowingly engaged in or are now knowingly engaged in any dealings or transactions with any person that at the time of the dealing or transaction is or was the subject or the target of Sanctions or with any country subject to Sanctions.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2.26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Representations and Warranties of the Holder</w:t>
      </w:r>
      <w:r>
        <w:rPr>
          <w:rFonts w:ascii="Times New Roman;Times;Serif" w:hAnsi="Times New Roman;Times;Serif"/>
          <w:b w:val="false"/>
          <w:i w:val="false"/>
          <w:caps w:val="false"/>
          <w:smallCaps w:val="false"/>
          <w:sz w:val="20"/>
        </w:rPr>
        <w:t>. The Holder represents and warrants to the Company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Accredited Investor and Affiliate Status</w:t>
      </w:r>
      <w:r>
        <w:rPr>
          <w:rFonts w:ascii="Times New Roman;Times;Serif" w:hAnsi="Times New Roman;Times;Serif"/>
          <w:b w:val="false"/>
          <w:i w:val="false"/>
          <w:caps w:val="false"/>
          <w:smallCaps w:val="false"/>
          <w:sz w:val="20"/>
        </w:rPr>
        <w:t>. The Holder is an “accredited investor” as that term is defined in Rule 501 of Regulation D under the Securities Act. The Holder is not, and has not been, for a period of at least three months prior to the date of this Agreement (a) an officer or director of the Company, (b) an “affiliate” of the Company (as defined in Rule 144) or (c) a “beneficial owner” of more than ten percent (10%) of shares of Common Stock (as defined for purposes of Rule 13d-3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Holder has been furnished with all materials relating to the business, finances and operations of the Company and materials relating to the Amendment which have been requested by the Holder. The Holder has been afforded the opportunity to ask questions of the Company. Neither such inquiries nor any other due diligence investigations conducted by the Holder or its representatives shall modify, amend or affect the Holder’s right to rely on the Company’s representations and warranties contained herein. The Holder acknowledges that all of the documents filed by the Company with the SEC under Sections 13(a), 14(a) or 15(d) of the Exchange Act that have been posted on the SEC’s EDGAR site are available to the Holder, and, except for the Company’s representations and warranties contained herein, the Holder has not relied on any statement of the Company not contained in such documents in connection with the Holder’s decision to enter into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Risk</w:t>
      </w:r>
      <w:r>
        <w:rPr>
          <w:rFonts w:ascii="Times New Roman;Times;Serif" w:hAnsi="Times New Roman;Times;Serif"/>
          <w:b w:val="false"/>
          <w:i w:val="false"/>
          <w:caps w:val="false"/>
          <w:smallCaps w:val="false"/>
          <w:sz w:val="20"/>
        </w:rPr>
        <w:t>. The Holder understands that its investment in the Company involves a high degree of risk. The Holder is able to bear the risk of an investment in the Common Warrants including, without limitation, the risk of total loss of its investment. The Holder has sought such accounting, legal and tax advice as it has considered necessary to make an informed investment decision with respect to the Amendment.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No Governmental Review</w:t>
      </w:r>
      <w:r>
        <w:rPr>
          <w:rFonts w:ascii="Times New Roman;Times;Serif" w:hAnsi="Times New Roman;Times;Serif"/>
          <w:b w:val="false"/>
          <w:i w:val="false"/>
          <w:caps w:val="false"/>
          <w:smallCaps w:val="false"/>
          <w:sz w:val="20"/>
        </w:rPr>
        <w:t>. The Holder understands that no United States federal or state agency or any other government or governmental agency has passed on or made any recommendation or endorsement in connection with the Amendment.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Organization; Authority; Validity; Enforcement</w:t>
      </w:r>
      <w:r>
        <w:rPr>
          <w:rFonts w:ascii="Times New Roman;Times;Serif" w:hAnsi="Times New Roman;Times;Serif"/>
          <w:b w:val="false"/>
          <w:i w:val="false"/>
          <w:caps w:val="false"/>
          <w:smallCaps w:val="false"/>
          <w:sz w:val="20"/>
        </w:rPr>
        <w:t>. The Holder is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this Agreement and otherwise to carry out its obligations hereunder and thereunder. The execution and delivery of this Agreement and performance by the Holder of the transactions contemplated by this Agreement has been duly authorized by all necessary corporate, partnership, limited liability company or similar action, as applicable, on the part of the Holder. This Agreement has been duly executed by the Holder, and when delivered by the Holder in accordance with the terms hereof, will constitute the valid and legally binding obligation of the Holder, enforceable against the Holder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 The execution, delivery and performance of this Agreement by the Holder and the consummation by the Holder of the transactions contemplated hereby will not result in a violation of the organizational documents of the Holder if the Holder is an entity.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Prior Investment Experience</w:t>
      </w:r>
      <w:r>
        <w:rPr>
          <w:rFonts w:ascii="Times New Roman;Times;Serif" w:hAnsi="Times New Roman;Times;Serif"/>
          <w:b w:val="false"/>
          <w:i w:val="false"/>
          <w:caps w:val="false"/>
          <w:smallCaps w:val="false"/>
          <w:sz w:val="20"/>
        </w:rPr>
        <w:t>. The Holder acknowledges that it has prior investment experience, including investment in the Common Warrants, and has read all of the documents furnished or made available by the Company to it and is able to evaluate the merits and risks of such an investment on its behalf, and that it recognizes the highly speculative nature of this investment.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Tax Consequences</w:t>
      </w:r>
      <w:r>
        <w:rPr>
          <w:rFonts w:ascii="Times New Roman;Times;Serif" w:hAnsi="Times New Roman;Times;Serif"/>
          <w:b w:val="false"/>
          <w:i w:val="false"/>
          <w:caps w:val="false"/>
          <w:smallCaps w:val="false"/>
          <w:sz w:val="20"/>
        </w:rPr>
        <w:t>. The Holder acknowledges that the Company has made no representation regarding the potential or actual tax consequences for the Holder which will result from entering into the Agreement and from consummation of the Amendment. The Holder acknowledges that it bears complete responsibility for obtaining adequate tax advice regarding the Agreement and the Amendment.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Conditions Precedent to Obligations of the Company</w:t>
      </w:r>
      <w:r>
        <w:rPr>
          <w:rFonts w:ascii="Times New Roman;Times;Serif" w:hAnsi="Times New Roman;Times;Serif"/>
          <w:b w:val="false"/>
          <w:i w:val="false"/>
          <w:caps w:val="false"/>
          <w:smallCaps w:val="false"/>
          <w:sz w:val="20"/>
        </w:rPr>
        <w:t>. The obligation of the Company to consummate the transactions contemplated by this Agreement is subject to the satisfaction of each of the following conditions, provided that these conditions are for the Company’s sole benefit and may be waived by the Company at any time in its sole discretion by providing the Holder with prior written notice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No Prohibition</w:t>
      </w:r>
      <w:r>
        <w:rPr>
          <w:rFonts w:ascii="Times New Roman;Times;Serif" w:hAnsi="Times New Roman;Times;Serif"/>
          <w:b w:val="false"/>
          <w:i w:val="false"/>
          <w:caps w:val="false"/>
          <w:smallCaps w:val="false"/>
          <w:sz w:val="20"/>
        </w:rPr>
        <w:t>. No order of any court, arbitrator, or governmental or regulatory authority shall be in effect which purports to enjoin or restrain any of the transactions contemplated by this Agreement;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The accuracy in all material respects when made and on the Effective Date of the representations and warranties of the Holder contained herein (unless as of a specific date referenced therein);</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Conditions Precedent to Obligations of the Holder</w:t>
      </w:r>
      <w:r>
        <w:rPr>
          <w:rFonts w:ascii="Times New Roman;Times;Serif" w:hAnsi="Times New Roman;Times;Serif"/>
          <w:b w:val="false"/>
          <w:i w:val="false"/>
          <w:caps w:val="false"/>
          <w:smallCaps w:val="false"/>
          <w:sz w:val="20"/>
        </w:rPr>
        <w:t>. The obligation of the Holder to consummate the transactions contemplated by this Agreement is subject to the satisfaction of each of the following conditions, provided that these conditions are for the Holder’s sole benefit and may be waived by the Holder at any time in its sole discretion by providing the Company with prior written notice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No Prohibition</w:t>
      </w:r>
      <w:r>
        <w:rPr>
          <w:rFonts w:ascii="Times New Roman;Times;Serif" w:hAnsi="Times New Roman;Times;Serif"/>
          <w:b w:val="false"/>
          <w:i w:val="false"/>
          <w:caps w:val="false"/>
          <w:smallCaps w:val="false"/>
          <w:sz w:val="20"/>
        </w:rPr>
        <w:t>. No order of any court, arbitrator, or governmental or regulatory authority shall be in effect which purports to enjoin or restrain any of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Representations</w:t>
      </w:r>
      <w:r>
        <w:rPr>
          <w:rFonts w:ascii="Times New Roman;Times;Serif" w:hAnsi="Times New Roman;Times;Serif"/>
          <w:b w:val="false"/>
          <w:i w:val="false"/>
          <w:caps w:val="false"/>
          <w:smallCaps w:val="false"/>
          <w:sz w:val="20"/>
        </w:rPr>
        <w:t>. The representations and warranties of the Company (i) shall be true and correct in all material respects when made and on the Effective Date (unless as of a specific date referenced therein) for such representations and warranties contained herein that are not qualified by “materiality” or “Material Adverse Effect” and (ii) shall be true and correct when made and on the Effective Date (unless as of a specific date referenced therein) for such representations and warranties contained herein that are qualified by “materiality” or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All Obligations</w:t>
      </w:r>
      <w:r>
        <w:rPr>
          <w:rFonts w:ascii="Times New Roman;Times;Serif" w:hAnsi="Times New Roman;Times;Serif"/>
          <w:b w:val="false"/>
          <w:i w:val="false"/>
          <w:caps w:val="false"/>
          <w:smallCaps w:val="false"/>
          <w:sz w:val="20"/>
        </w:rPr>
        <w:t>. All obligations, covenants and agreements of the Company required to be performed at or prior to the Effective Date shall have been performed;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From the date hereof to the Effective Date, trading in the Common Stock shall not have been suspended by the Commission or any Trading Market and, at any time prior to the Effective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the Holder makes it impracticable or inadvisable to enter into the Amendment. As used herein, “</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shall mean the Nasdaq Capital Market, the New York Stock Exchange, the NYSE American, the Nasdaq Global Select Market, or the Nasdaq Global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Other Agreements between the 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Securities Filings</w:t>
      </w:r>
      <w:r>
        <w:rPr>
          <w:rFonts w:ascii="Times New Roman;Times;Serif" w:hAnsi="Times New Roman;Times;Serif"/>
          <w:b w:val="false"/>
          <w:i w:val="false"/>
          <w:caps w:val="false"/>
          <w:smallCaps w:val="false"/>
          <w:sz w:val="20"/>
        </w:rPr>
        <w:t>. To the extent necessary under the rules and regulations of the Commission to permit for the continued registration and the ability of the Holder to dispose of the Common Warrants and the shares of Common Stock issuable upon the exercise thereof, the Company shall promptly, and in any event not later than two business days following the date hereof, file with the Commission a prospectus supplement or other comparable filing, to reflect the terms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810"/>
        <w:jc w:val="both"/>
        <w:rPr>
          <w:caps w:val="false"/>
          <w:smallCaps w:val="false"/>
        </w:rPr>
      </w:pPr>
      <w:r>
        <w:rPr>
          <w:caps w:val="false"/>
          <w:smallCaps w:val="false"/>
        </w:rPr>
        <w:t> </w:t>
      </w:r>
    </w:p>
    <w:p>
      <w:pPr>
        <w:pStyle w:val="TextBody"/>
        <w:bidi w:val="0"/>
        <w:spacing w:before="0" w:after="0"/>
        <w:ind w:left="72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On the Effective Date, the Company shall reimburse the Holder in the amount of $35,000.00 for all reasonable fees, costs, and expenses, including attorneys’ fees and expenses, incurred by the Holder to date in connection with this Agreement.</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720" w:right="0" w:firstLine="810"/>
        <w:jc w:val="both"/>
        <w:rPr>
          <w:caps w:val="false"/>
          <w:smallCaps w:val="false"/>
        </w:rPr>
      </w:pPr>
      <w:r>
        <w:rPr>
          <w:caps w:val="false"/>
          <w:smallCaps w:val="false"/>
        </w:rPr>
        <w:t> </w:t>
      </w:r>
    </w:p>
    <w:p>
      <w:pPr>
        <w:pStyle w:val="TextBody"/>
        <w:bidi w:val="0"/>
        <w:spacing w:before="0" w:after="0"/>
        <w:ind w:left="72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81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Governing Law; Jurisdiction; Waiver of Jury Trial</w:t>
      </w:r>
      <w:r>
        <w:rPr>
          <w:rFonts w:ascii="Times New Roman;Times;Serif" w:hAnsi="Times New Roman;Times;Serif"/>
          <w:b w:val="false"/>
          <w:i w:val="false"/>
          <w:caps w:val="false"/>
          <w:smallCaps w:val="false"/>
          <w:sz w:val="20"/>
        </w:rPr>
        <w:t>. This Agreement shall be construed under the laws of the state of New York, without regard to principles of conflicts of law or choice of law that would permit or require the application of the laws of another jurisdiction. Each party agrees that all actions or proceedings concerning the interpretations, enforcement and defense of the transactions contemplated by this Agreement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this Agreement), and hereby irrevocably waives, and agrees not to assert in any action or proceeding, any claim that it is not personally subject to the jurisdiction of any such court, that such action or proceeding is improper or is an inconvenient venue for such action or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THE COMPANY AND THE HOLDER EACH HEREBY WAIVES ANY RIGHT TO A JURY TRIAL IN CONNECTION WITH ANY LITIGATION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identical counterparts, all of which shall be considered one and the same agreement and shall become effective when counterparts have been signed by each party and delivered to the other party; provided that an electronic signature shall be considered due execution and shall be binding upon the signatory thereto with the same force and effect as if the signature were an original, not an electronic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Agreement are for convenience of reference and shall not form part of, or affect the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No Strict Construction</w:t>
      </w:r>
      <w:r>
        <w:rPr>
          <w:rFonts w:ascii="Times New Roman;Times;Serif" w:hAnsi="Times New Roman;Times;Serif"/>
          <w:b w:val="false"/>
          <w:i w:val="false"/>
          <w:caps w:val="false"/>
          <w:smallCaps w:val="false"/>
          <w:sz w:val="20"/>
        </w:rPr>
        <w:t>. The language used in this Agreement will be deemed to be the language chosen by the parties to express their mutual intent, and no rules of strict construction will be applied against any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supersedes all other prior oral or written agreements between the Holder, the Company, their Affiliates and persons acting on their behalf with respect to the matters discussed herein, and this Agreement and the instruments referenced herein contain the entire understanding of the parties with respect to the matters covered herein and therein. No provision of this Agreement may be amended other than by an instrument in writing signed by the Company and the Holder. No provision hereof may be waived other than by an instrument in writing signed by the party against whom enforcement is sought.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consents, waivers or other communications required or permitted to be given under the terms of this Agreement must be in writing and will be deemed to have been delivered: (a) upon receipt, when delivered personally; (b) upon receipt, when sent by facsimile or email (provided confirmation of transmission is mechanically or electronically generated and kept on file by the sending party); or (c) one calendar day (excluding Saturdays, Sundays, and national banking holidays) after deposit with an overnight courier service, in each case properly addressed to the party to receive the same.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addresses, facsimile numbers and emails for such communications shall be: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w:t>
        <w:br/>
        <w:t>28 Engelhard Drive, Suite B</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Monroe Township, New Jersey 08831</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(609) 730-0400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Robert Powers, Chief Financial Officer</w:t>
        <w:br/>
        <w:t>E-Mail: rpowers@oceanpowertech.com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Holder: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set forth on its signature block.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and/or facsimile number and/or to the attention of such other person as the recipient party has specified by written notice given to each other party five (5) days prior to the effectiveness of such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respective successors and assigns, including any purchasers of the Common Warrants. Subject to its compliance with applicable federal and state securities laws, the Holder may assign some or all of its rights hereunder without the consent of the Company, in which event such assignee shall be deemed to be the Holder hereunder with respect to such assigned rights.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Survival of Representations</w:t>
      </w:r>
      <w:r>
        <w:rPr>
          <w:rFonts w:ascii="Times New Roman;Times;Serif" w:hAnsi="Times New Roman;Times;Serif"/>
          <w:b w:val="false"/>
          <w:i w:val="false"/>
          <w:caps w:val="false"/>
          <w:smallCaps w:val="false"/>
          <w:sz w:val="20"/>
        </w:rPr>
        <w:t>. The representations and warranties of the Company and the Holder contained in Sections 2 and 3, respectively, will survive the closing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The Company shall, on or before 9:30 a.m., New York City time, on the date of this Agreement (provided that if this Agreement is executed after 9:30 a.m., New York City time, then the business day following the date of this Agreement) file with the Commission a Current Report on Form 8-K disclosing all material terms of the transactions contemplated hereby and any other material non-public information provided to the Holder by the Company or any of its subsidiaries or any of their respective officers, directors, employees, affiliates or agents (the “</w:t>
      </w:r>
      <w:r>
        <w:rPr>
          <w:rFonts w:ascii="Times New Roman;Times;Serif" w:hAnsi="Times New Roman;Times;Serif"/>
          <w:b w:val="false"/>
          <w:i w:val="false"/>
          <w:caps w:val="false"/>
          <w:smallCaps w:val="false"/>
          <w:sz w:val="20"/>
          <w:u w:val="single"/>
        </w:rPr>
        <w:t>Public Disclosure</w:t>
      </w:r>
      <w:r>
        <w:rPr>
          <w:rFonts w:ascii="Times New Roman;Times;Serif" w:hAnsi="Times New Roman;Times;Serif"/>
          <w:b w:val="false"/>
          <w:i w:val="false"/>
          <w:caps w:val="false"/>
          <w:smallCaps w:val="false"/>
          <w:sz w:val="20"/>
        </w:rPr>
        <w:t>”). From and after the filing of the Public Disclosure, the Holder shall not be in possession of any material, non-public information received from the Company or any of its subsidiaries or any of their respective officers, directors, employees, affiliates or agents, that is not disclosed in the Public Disclosure. The Company shall not, and shall cause its officers, directors, employees, affiliates and agents, not to, provide the Holder with any material, non-public information regarding the Company from and after the filing of the Public Disclosure without the express written consent of the Holder. To the extent that the Company delivers any material, non-public information to the Holder without the Holder’s express prior written consent, the Company hereby covenants and agrees that the Holder shall not have any duty of confidentiality to the Company, any of its subsidiaries or any of their respective officers, directors, employees, affiliates or agents with respect to, or a duty to the Company, any of its subsidiaries or any of their respective officers, directors, employees, affiliates or agents not to trade on the basis of, such material, non-public information. The Company shall not disclose the name of the Holder in any filing, announcement, release or otherwise, unless such disclosure is required by law or regulation, provided that the Company shall promptly notify the Holder of such requirement, to the extent permitted by applicable law, so that the Holder may seek a protective order or other appropriate remedy prior to such disclosure. In addition, effective upon the filing of the Public Disclosure, the Company acknowledges and agrees that any and all confidentiality or similar obligations under any agreement, whether written or oral, between the Company, any of its subsidiaries or any of their respective officers, directors, affiliates, employees or agents, on the one hand, and the Holder or any of its affiliates, on the other hand, shall terminate and be of no further force or effect. The Company understands and confirms that the Holder will rely on the foregoing representations in effecting transactions in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Holder and the Company will be entitled to specific performance under this Agreement. The parties agree that monetary damages may not be adequate compensation for any loss incurred by reason of any breach of obligations contained in this Agreement and hereby agree to waive and not to assert in any action or proceeding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830"/>
        <w:gridCol w:w="2789"/>
        <w:gridCol w:w="75"/>
      </w:tblGrid>
      <w:tr>
        <w:trPr/>
        <w:tc>
          <w:tcPr>
            <w:tcW w:w="36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89"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date first written above.</w:t>
      </w:r>
    </w:p>
    <w:p>
      <w:pPr>
        <w:pStyle w:val="TextBody"/>
        <w:bidi w:val="0"/>
        <w:spacing w:before="0" w:after="0"/>
        <w:ind w:left="0" w:right="0" w:firstLine="720"/>
        <w:jc w:val="left"/>
        <w:rPr>
          <w:caps w:val="false"/>
          <w:smallCaps w:val="false"/>
        </w:rPr>
      </w:pPr>
      <w:r>
        <w:rPr>
          <w:caps w:val="false"/>
          <w:smallCaps w:val="false"/>
        </w:rPr>
        <w:t> </w:t>
      </w:r>
    </w:p>
    <w:tbl>
      <w:tblPr>
        <w:tblW w:w="2434" w:type="dxa"/>
        <w:jc w:val="left"/>
        <w:tblInd w:w="0" w:type="dxa"/>
        <w:tblLayout w:type="fixed"/>
        <w:tblCellMar>
          <w:top w:w="0" w:type="dxa"/>
          <w:left w:w="0" w:type="dxa"/>
          <w:bottom w:w="0" w:type="dxa"/>
          <w:right w:w="0" w:type="dxa"/>
        </w:tblCellMar>
      </w:tblPr>
      <w:tblGrid>
        <w:gridCol w:w="75"/>
        <w:gridCol w:w="2042"/>
        <w:gridCol w:w="317"/>
      </w:tblGrid>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HOLDER</w:t>
            </w:r>
          </w:p>
        </w:tc>
      </w:tr>
      <w:tr>
        <w:trPr/>
        <w:tc>
          <w:tcPr>
            <w:tcW w:w="75"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[INSERT HOLDER]</w:t>
            </w:r>
          </w:p>
        </w:tc>
      </w:tr>
      <w:tr>
        <w:trPr/>
        <w:tc>
          <w:tcPr>
            <w:tcW w:w="75"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7"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 (Holder):</w:t>
            </w:r>
          </w:p>
        </w:tc>
      </w:tr>
      <w:tr>
        <w:trPr/>
        <w:tc>
          <w:tcPr>
            <w:tcW w:w="75" w:type="dxa"/>
            <w:tcBorders/>
            <w:vAlign w:val="center"/>
          </w:tcPr>
          <w:p>
            <w:pPr>
              <w:pStyle w:val="TableContents"/>
              <w:bidi w:val="0"/>
              <w:spacing w:before="0" w:after="283"/>
              <w:jc w:val="left"/>
              <w:rPr/>
            </w:pPr>
            <w:r>
              <w:rPr/>
              <w:t> </w:t>
            </w:r>
          </w:p>
        </w:tc>
        <w:tc>
          <w:tcPr>
            <w:tcW w:w="2042"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35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5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5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2" w:name="ex99-1.htm"/>
      <w:bookmarkStart w:id="33" w:name="ksex991"/>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Weed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I’ve been working since last year for RepMUSE. So it’s a very large NATO exercise, and we’re working directly with the US contingent. And it’s allowed us to take our uncrewed surface vehicles, so our surface drones, and put them directly in the hands of the sailors and the Marines.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Darling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Welcome back inside our proactive newsroom, and joining me now is Tracy Pagliara. He’s the CEO of Ocean Power Technologies. And Tracy, it’s nice to see you. How are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 doing great, thanks.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Darling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 and also joining us, yeah, good to have you along. And also joining us is your Chief Operating Officer, Jason Weed. Jason, nice to see you as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Weed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thanks, Steve. Really appreciate the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Darling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so Tracy, you’re new into the role. You’re the acting CEO, so to speak, and so really setting a new direction for Ocean Power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Really, we’re excited about the environment we operate in today. It’s very dynamic, very exciting. We see lots of opportunity, particularly in our defence and security market, which Jason will elaborate on a little bit more in a minute. But we’ve got, you know, we’ve got a qualified pipeline that’s going up.</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backlog is 20 million. the end, we are really on the verge of, you know, breaking out and having some big orders come in, and I’ll maybe I’ll let Jason elaborate a little bit more on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Darling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because Jason you’ve there’s been a couple of big pieces of news this week and a lot of that is in the defense sector let’s talk with the first one and that is in REPMUS 2026 an opportunity for you to work with the us navy and the marine corps as well and i know you have a background in the military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Darling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these this is an area you know quite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Weed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thanks, Steve. Yeah, we’ve been prepping since last year for REPMUS so it’s a very large NATO exercise and we’re working directly with the the u.s contingent And it’s allowed us to take our uncrewed surface vehicles, so our surface drones, and put them directly in the hands of the sailors and the Marines. And so it’s been a great opportunity for us to grow over the last year as I worked on the sales side of things to develop these opportunities and then now see the maturity of the operations team being able to execute. execute. We’ve been able to get quite a few firsts as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Weed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we were able to fully integrate all of our systems. So we have three different classes of uncrewed surface vehicles. So an eight foot, a 16 foot and a 22 foot vehicle. And we’ve been able to integrate all three of those into the Navy’s common control software. So they were able to actually command control and operate all three of our platforms throughout the exercise, executing mine countermeasures, ISR and surveillance and security, and also other opportunities that the team came up with to go execute different missions as they came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Weed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then we also were able to integrate into the larger NATO portion of those exercises. So it’s a great opportunity, one, to work directly with the Navy, but also with the Navy team, who was also evaluating and giving an official evaluation for the Navy, which, as you had mentioned earlier, earlier allows us to have that growth in with the defense customers.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Darling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And on the other side, the U.S. Army Corps of Engineers has been doing some work with you as well. And this is on those surf zone conditions and the challenge sometimes of getting to there. So this is a really unique part of what the company can provide.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Weed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it was great. We didn’t know whether we were going to be able to participate because we were so heavily involved with REPMUS But we work with the team down in Duck, North Carolina. We got a team together. We did some initial workups and preparations off the coast of California and then came over to the East Coast. And we were able to work for three days directly with the Army Corps of Engineers and that entire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Weed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they came through and it was an official evaluation as well. You know, it was great to actually have we had some pretty sporty surf the first couple of days. And so we were able to prove not just the vehicle was able to operate, but we were also able to bring a very high quality sensor to that problem 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Weed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you know, we’re looking forward to additional opportunities to work with the Army Corps of Engineers. So, again, we’re really looking and focusing on, you know, specific customer sets and working to optimize our systems to be successful with those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Darling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Tracy, this is such an important part for the company of showing what your vehicles can do and sort of getting the new clients, but also while clearing that backlog as well. That’s sort of the show me contract, so to speak.</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Exactly. And, you know, I want to applaud our team. We did well, extremely well at both REPMUS and Duck, North Carolina, improving out the capabilities of our WAM-V® We think that speaks volumes for the potential for the products to be of use to other customers, both not just in defense, but also for other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Darling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lastly, Tracy, is it the importance of you is to clear the backlog as quick as possible? And then sort of fill that up with the new sales of things like this. Is that how the plan is going to work moving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We also are very bullish on our PowerBuoy® We’re receiving a lot of interest with that product. Of course, we had the, you know, earlier in the year, the DHS contract where we placed four buoys with the Coast Guard. And but we’ve, you know, we were seeing on that side of the business the opportunity to grow that backlog as well.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yeah, we’re certainly keen on converting the existing backlog to revenue. You know, our qualified pipeline is over $150 million. And so, you know, we have plenty of opportunity to convert pipeline to backlog, to replenish the backlog that we anticipate will be moving through the system for the duration of the year, our fiscal year, which ends April 30th.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Darling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well, it’s going to be a busy one for sure. You’ve got lots on the go. Jason, thanks so much for being here. Really appreciate it. Good to talk to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Weed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thanks Steve. Greatly appreciate the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Darling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Yeah, and Tracy, always great to see you as well. Thank you very much.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Pagliara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 thank you.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Darling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right, there’s Tracy Pagliara, the CEO and Jason Weed, Chief Operating Officer for Ocean Power Technologies.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55</Pages>
  <Words>45867</Words>
  <Characters>238626</Characters>
  <CharactersWithSpaces>284829</CharactersWithSpaces>
  <Paragraphs>1574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